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9ECE2" w14:textId="304CC857" w:rsidR="00C36850" w:rsidRPr="00AE6692" w:rsidRDefault="00C36850" w:rsidP="00AB3439">
      <w:pPr>
        <w:jc w:val="both"/>
        <w:rPr>
          <w:rFonts w:ascii="Helvetica" w:eastAsia="Times New Roman" w:hAnsi="Helvetica" w:cs="Times New Roman"/>
          <w:color w:val="000000"/>
          <w:sz w:val="21"/>
          <w:szCs w:val="21"/>
          <w:lang w:val="cs-CZ" w:eastAsia="en-GB"/>
        </w:rPr>
      </w:pPr>
      <w:r w:rsidRPr="00AE6692">
        <w:rPr>
          <w:rFonts w:ascii="Helvetica" w:eastAsia="Times New Roman" w:hAnsi="Helvetica" w:cs="Times New Roman"/>
          <w:color w:val="000000"/>
          <w:sz w:val="21"/>
          <w:szCs w:val="21"/>
          <w:lang w:val="cs-CZ" w:eastAsia="en-GB"/>
        </w:rPr>
        <w:t>Vážené senátorky</w:t>
      </w:r>
      <w:r w:rsidR="00AE6692" w:rsidRPr="00AE6692">
        <w:rPr>
          <w:rFonts w:ascii="Helvetica" w:eastAsia="Times New Roman" w:hAnsi="Helvetica" w:cs="Times New Roman"/>
          <w:color w:val="000000"/>
          <w:sz w:val="21"/>
          <w:szCs w:val="21"/>
          <w:lang w:val="cs-CZ" w:eastAsia="en-GB"/>
        </w:rPr>
        <w:t>, vážení senátoři,</w:t>
      </w:r>
    </w:p>
    <w:p w14:paraId="0D01633C" w14:textId="77777777" w:rsidR="00C36850" w:rsidRPr="00AE6692" w:rsidRDefault="00C36850" w:rsidP="00AB3439">
      <w:pPr>
        <w:jc w:val="both"/>
        <w:rPr>
          <w:rFonts w:ascii="Helvetica" w:eastAsia="Times New Roman" w:hAnsi="Helvetica" w:cs="Times New Roman"/>
          <w:color w:val="000000"/>
          <w:sz w:val="21"/>
          <w:szCs w:val="21"/>
          <w:lang w:val="cs-CZ" w:eastAsia="en-GB"/>
        </w:rPr>
      </w:pPr>
    </w:p>
    <w:p w14:paraId="214C0942" w14:textId="77777777" w:rsidR="00885D38" w:rsidRPr="00885D38" w:rsidRDefault="00885D38" w:rsidP="00AB3439">
      <w:pPr>
        <w:jc w:val="both"/>
        <w:rPr>
          <w:rFonts w:ascii="Helvetica" w:eastAsia="Times New Roman" w:hAnsi="Helvetica" w:cs="Times New Roman"/>
          <w:color w:val="000000"/>
          <w:sz w:val="21"/>
          <w:szCs w:val="21"/>
          <w:lang w:val="cs-CZ" w:eastAsia="en-GB"/>
        </w:rPr>
      </w:pPr>
      <w:r w:rsidRPr="00885D38">
        <w:rPr>
          <w:rFonts w:ascii="Helvetica" w:eastAsia="Times New Roman" w:hAnsi="Helvetica" w:cs="Times New Roman"/>
          <w:color w:val="000000"/>
          <w:sz w:val="21"/>
          <w:szCs w:val="21"/>
          <w:lang w:val="cs-CZ" w:eastAsia="en-GB"/>
        </w:rPr>
        <w:t xml:space="preserve">dovolte, abych tímto v souladu s Opatřením rektora č. 16/2016 "Zásady programů Progres", Čl. </w:t>
      </w:r>
      <w:proofErr w:type="gramStart"/>
      <w:r w:rsidRPr="00885D38">
        <w:rPr>
          <w:rFonts w:ascii="Helvetica" w:eastAsia="Times New Roman" w:hAnsi="Helvetica" w:cs="Times New Roman"/>
          <w:color w:val="000000"/>
          <w:sz w:val="21"/>
          <w:szCs w:val="21"/>
          <w:lang w:val="cs-CZ" w:eastAsia="en-GB"/>
        </w:rPr>
        <w:t>V - Financování</w:t>
      </w:r>
      <w:proofErr w:type="gramEnd"/>
      <w:r w:rsidRPr="00885D38">
        <w:rPr>
          <w:rFonts w:ascii="Helvetica" w:eastAsia="Times New Roman" w:hAnsi="Helvetica" w:cs="Times New Roman"/>
          <w:color w:val="000000"/>
          <w:sz w:val="21"/>
          <w:szCs w:val="21"/>
          <w:lang w:val="cs-CZ" w:eastAsia="en-GB"/>
        </w:rPr>
        <w:t xml:space="preserve"> Programu, bonifikace, bode 7. požádal o</w:t>
      </w:r>
      <w:r w:rsidRPr="00AE6692">
        <w:rPr>
          <w:rFonts w:ascii="Helvetica" w:eastAsia="Times New Roman" w:hAnsi="Helvetica" w:cs="Times New Roman"/>
          <w:b/>
          <w:bCs/>
          <w:color w:val="000000"/>
          <w:sz w:val="21"/>
          <w:szCs w:val="21"/>
          <w:lang w:val="cs-CZ" w:eastAsia="en-GB"/>
        </w:rPr>
        <w:t> </w:t>
      </w:r>
      <w:r w:rsidRPr="00885D38">
        <w:rPr>
          <w:rFonts w:ascii="Helvetica" w:eastAsia="Times New Roman" w:hAnsi="Helvetica" w:cs="Times New Roman"/>
          <w:b/>
          <w:bCs/>
          <w:color w:val="000000"/>
          <w:sz w:val="21"/>
          <w:szCs w:val="21"/>
          <w:lang w:val="cs-CZ" w:eastAsia="en-GB"/>
        </w:rPr>
        <w:t>schválení rozdělení prostředků přidělovaných na jednotlivé Programy PROGRES</w:t>
      </w:r>
      <w:r w:rsidRPr="00885D38">
        <w:rPr>
          <w:rFonts w:ascii="Helvetica" w:eastAsia="Times New Roman" w:hAnsi="Helvetica" w:cs="Times New Roman"/>
          <w:color w:val="000000"/>
          <w:sz w:val="21"/>
          <w:szCs w:val="21"/>
          <w:lang w:val="cs-CZ" w:eastAsia="en-GB"/>
        </w:rPr>
        <w:t>. Předmětný bod říká: "Rektor každoročně sdělí děkanům fakult (ředitelům VŠ ústavů) předpokládanou celkovou výši finančních prostředků, které mají být dle schválených Principů přiděleny dané fakultě (VŠ ústavu) na realizaci Programů. Děkan fakulty (ředitel VŠ ústavu) spolu s koordinátory Programů uskutečňovaných na fakultě (VŠ ústavu) poté v termínu stanoveném rektorem předloží rektorovi návrh rozdělení prostředků přidělovaných na fakultu (VŠ ústav) na jednotlivé Programy; v případě společného Programu na část tohoto Programu připadající na danou fakultu (VŠ ústav), a to po domluvě s ostatními participujícími fakultami (VŠ ústavy). Návrh musí být schválen akademickým senátem dané fakulty; tento každoroční souhlas může být nahrazen předchozím schválením dlouhodobějších obecných pravidel pro vytváření tohoto návrhu."</w:t>
      </w:r>
    </w:p>
    <w:p w14:paraId="7D0BEC8F" w14:textId="77777777" w:rsidR="00885D38" w:rsidRPr="00885D38" w:rsidRDefault="00885D38" w:rsidP="00AB3439">
      <w:pPr>
        <w:jc w:val="both"/>
        <w:rPr>
          <w:rFonts w:ascii="Helvetica" w:eastAsia="Times New Roman" w:hAnsi="Helvetica" w:cs="Times New Roman"/>
          <w:color w:val="000000"/>
          <w:sz w:val="21"/>
          <w:szCs w:val="21"/>
          <w:lang w:val="cs-CZ" w:eastAsia="en-GB"/>
        </w:rPr>
      </w:pPr>
      <w:r w:rsidRPr="00885D38">
        <w:rPr>
          <w:rFonts w:ascii="Helvetica" w:eastAsia="Times New Roman" w:hAnsi="Helvetica" w:cs="Times New Roman"/>
          <w:color w:val="000000"/>
          <w:sz w:val="21"/>
          <w:szCs w:val="21"/>
          <w:lang w:val="cs-CZ" w:eastAsia="en-GB"/>
        </w:rPr>
        <w:t xml:space="preserve">Princip rozpisu prostředků je stejný jako v uplynulých letech u programu PRVOUK, tj. rozpočítáváme podíl prostředků programy a poté v jejich rámci na instituty (resp. řešitele-jednotlivce u programů organizovaných jinými fakultami, kde máme své členy) striktně podle stejných pravidel, podle kterých rozpočítává prostředky i sama univerzita (to jest podle </w:t>
      </w:r>
      <w:proofErr w:type="spellStart"/>
      <w:r w:rsidRPr="00885D38">
        <w:rPr>
          <w:rFonts w:ascii="Helvetica" w:eastAsia="Times New Roman" w:hAnsi="Helvetica" w:cs="Times New Roman"/>
          <w:color w:val="000000"/>
          <w:sz w:val="21"/>
          <w:szCs w:val="21"/>
          <w:lang w:val="cs-CZ" w:eastAsia="en-GB"/>
        </w:rPr>
        <w:t>RIVbodů</w:t>
      </w:r>
      <w:proofErr w:type="spellEnd"/>
      <w:r w:rsidRPr="00885D38">
        <w:rPr>
          <w:rFonts w:ascii="Helvetica" w:eastAsia="Times New Roman" w:hAnsi="Helvetica" w:cs="Times New Roman"/>
          <w:color w:val="000000"/>
          <w:sz w:val="21"/>
          <w:szCs w:val="21"/>
          <w:lang w:val="cs-CZ" w:eastAsia="en-GB"/>
        </w:rPr>
        <w:t>).</w:t>
      </w:r>
    </w:p>
    <w:p w14:paraId="4D7F2402" w14:textId="77777777" w:rsidR="00885D38" w:rsidRPr="00885D38" w:rsidRDefault="00885D38" w:rsidP="00AB3439">
      <w:pPr>
        <w:jc w:val="both"/>
        <w:rPr>
          <w:rFonts w:ascii="Helvetica" w:eastAsia="Times New Roman" w:hAnsi="Helvetica" w:cs="Times New Roman"/>
          <w:color w:val="000000"/>
          <w:sz w:val="21"/>
          <w:szCs w:val="21"/>
          <w:lang w:val="cs-CZ" w:eastAsia="en-GB"/>
        </w:rPr>
      </w:pPr>
      <w:r w:rsidRPr="00885D38">
        <w:rPr>
          <w:rFonts w:ascii="Helvetica" w:eastAsia="Times New Roman" w:hAnsi="Helvetica" w:cs="Times New Roman"/>
          <w:color w:val="000000"/>
          <w:sz w:val="21"/>
          <w:szCs w:val="21"/>
          <w:lang w:val="cs-CZ" w:eastAsia="en-GB"/>
        </w:rPr>
        <w:t xml:space="preserve">Oproti principům PRVOUKU se změnil jen vzájemný poměr režií, prostředků, které rozděluje koordinátor, a prostředků </w:t>
      </w:r>
      <w:proofErr w:type="gramStart"/>
      <w:r w:rsidRPr="00885D38">
        <w:rPr>
          <w:rFonts w:ascii="Helvetica" w:eastAsia="Times New Roman" w:hAnsi="Helvetica" w:cs="Times New Roman"/>
          <w:color w:val="000000"/>
          <w:sz w:val="21"/>
          <w:szCs w:val="21"/>
          <w:lang w:val="cs-CZ" w:eastAsia="en-GB"/>
        </w:rPr>
        <w:t>rozepisovaným</w:t>
      </w:r>
      <w:proofErr w:type="gramEnd"/>
      <w:r w:rsidRPr="00885D38">
        <w:rPr>
          <w:rFonts w:ascii="Helvetica" w:eastAsia="Times New Roman" w:hAnsi="Helvetica" w:cs="Times New Roman"/>
          <w:color w:val="000000"/>
          <w:sz w:val="21"/>
          <w:szCs w:val="21"/>
          <w:lang w:val="cs-CZ" w:eastAsia="en-GB"/>
        </w:rPr>
        <w:t xml:space="preserve"> přímo na instituty, kterými disponuje ředitel. Tento poměr nově reflektuje fakultní politiku, která drží režie na </w:t>
      </w:r>
      <w:proofErr w:type="gramStart"/>
      <w:r w:rsidRPr="00885D38">
        <w:rPr>
          <w:rFonts w:ascii="Helvetica" w:eastAsia="Times New Roman" w:hAnsi="Helvetica" w:cs="Times New Roman"/>
          <w:color w:val="000000"/>
          <w:sz w:val="21"/>
          <w:szCs w:val="21"/>
          <w:lang w:val="cs-CZ" w:eastAsia="en-GB"/>
        </w:rPr>
        <w:t>19%</w:t>
      </w:r>
      <w:proofErr w:type="gramEnd"/>
      <w:r w:rsidRPr="00885D38">
        <w:rPr>
          <w:rFonts w:ascii="Helvetica" w:eastAsia="Times New Roman" w:hAnsi="Helvetica" w:cs="Times New Roman"/>
          <w:color w:val="000000"/>
          <w:sz w:val="21"/>
          <w:szCs w:val="21"/>
          <w:lang w:val="cs-CZ" w:eastAsia="en-GB"/>
        </w:rPr>
        <w:t>. Nově tedy činí tento poměr 19:10:71.</w:t>
      </w:r>
    </w:p>
    <w:p w14:paraId="21953686" w14:textId="77777777" w:rsidR="00885D38" w:rsidRPr="00885D38" w:rsidRDefault="00885D38" w:rsidP="00AB3439">
      <w:pPr>
        <w:jc w:val="both"/>
        <w:rPr>
          <w:rFonts w:ascii="Helvetica" w:eastAsia="Times New Roman" w:hAnsi="Helvetica" w:cs="Times New Roman"/>
          <w:color w:val="000000"/>
          <w:sz w:val="21"/>
          <w:szCs w:val="21"/>
          <w:lang w:val="cs-CZ" w:eastAsia="en-GB"/>
        </w:rPr>
      </w:pPr>
      <w:r w:rsidRPr="00885D38">
        <w:rPr>
          <w:rFonts w:ascii="Helvetica" w:eastAsia="Times New Roman" w:hAnsi="Helvetica" w:cs="Times New Roman"/>
          <w:color w:val="000000"/>
          <w:sz w:val="21"/>
          <w:szCs w:val="21"/>
          <w:lang w:val="cs-CZ" w:eastAsia="en-GB"/>
        </w:rPr>
        <w:t>Níže přikládám detailní tabulku rozpisu prostředků:</w:t>
      </w:r>
      <w:bookmarkStart w:id="0" w:name="_GoBack"/>
      <w:bookmarkEnd w:id="0"/>
    </w:p>
    <w:tbl>
      <w:tblPr>
        <w:tblW w:w="14740" w:type="dxa"/>
        <w:tblCellMar>
          <w:left w:w="0" w:type="dxa"/>
          <w:right w:w="0" w:type="dxa"/>
        </w:tblCellMar>
        <w:tblLook w:val="04A0" w:firstRow="1" w:lastRow="0" w:firstColumn="1" w:lastColumn="0" w:noHBand="0" w:noVBand="1"/>
      </w:tblPr>
      <w:tblGrid>
        <w:gridCol w:w="6220"/>
        <w:gridCol w:w="1800"/>
        <w:gridCol w:w="1640"/>
        <w:gridCol w:w="1400"/>
        <w:gridCol w:w="1280"/>
        <w:gridCol w:w="1300"/>
        <w:gridCol w:w="1100"/>
      </w:tblGrid>
      <w:tr w:rsidR="00885D38" w:rsidRPr="00885D38" w14:paraId="0D1E5BD9" w14:textId="77777777" w:rsidTr="00885D38">
        <w:trPr>
          <w:trHeight w:val="468"/>
        </w:trPr>
        <w:tc>
          <w:tcPr>
            <w:tcW w:w="6220" w:type="dxa"/>
            <w:tcBorders>
              <w:top w:val="single" w:sz="8" w:space="0" w:color="auto"/>
              <w:left w:val="single" w:sz="8" w:space="0" w:color="auto"/>
              <w:bottom w:val="double" w:sz="6" w:space="0" w:color="auto"/>
              <w:right w:val="nil"/>
            </w:tcBorders>
            <w:noWrap/>
            <w:tcMar>
              <w:top w:w="0" w:type="dxa"/>
              <w:left w:w="70" w:type="dxa"/>
              <w:bottom w:w="0" w:type="dxa"/>
              <w:right w:w="70" w:type="dxa"/>
            </w:tcMar>
            <w:vAlign w:val="center"/>
            <w:hideMark/>
          </w:tcPr>
          <w:p w14:paraId="74596554" w14:textId="77777777" w:rsidR="00885D38" w:rsidRPr="00885D38" w:rsidRDefault="00885D38" w:rsidP="00885D38">
            <w:pPr>
              <w:spacing w:before="100" w:beforeAutospacing="1"/>
              <w:ind w:firstLine="180"/>
              <w:jc w:val="right"/>
              <w:rPr>
                <w:rFonts w:ascii="Times New Roman" w:hAnsi="Times New Roman" w:cs="Times New Roman"/>
                <w:lang w:val="cs-CZ" w:eastAsia="en-GB"/>
              </w:rPr>
            </w:pPr>
            <w:r w:rsidRPr="00885D38">
              <w:rPr>
                <w:rFonts w:ascii="Arial" w:hAnsi="Arial" w:cs="Arial"/>
                <w:sz w:val="18"/>
                <w:szCs w:val="18"/>
                <w:lang w:val="cs-CZ" w:eastAsia="en-GB"/>
              </w:rPr>
              <w:t>Rozdělení dle institutů/Progres:</w:t>
            </w:r>
          </w:p>
        </w:tc>
        <w:tc>
          <w:tcPr>
            <w:tcW w:w="1800" w:type="dxa"/>
            <w:tcBorders>
              <w:top w:val="single" w:sz="8" w:space="0" w:color="auto"/>
              <w:left w:val="single" w:sz="8" w:space="0" w:color="auto"/>
              <w:bottom w:val="double" w:sz="6" w:space="0" w:color="auto"/>
              <w:right w:val="nil"/>
            </w:tcBorders>
            <w:tcMar>
              <w:top w:w="0" w:type="dxa"/>
              <w:left w:w="70" w:type="dxa"/>
              <w:bottom w:w="0" w:type="dxa"/>
              <w:right w:w="70" w:type="dxa"/>
            </w:tcMar>
            <w:vAlign w:val="center"/>
            <w:hideMark/>
          </w:tcPr>
          <w:p w14:paraId="24913FA1"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celkem</w:t>
            </w:r>
          </w:p>
        </w:tc>
        <w:tc>
          <w:tcPr>
            <w:tcW w:w="1640" w:type="dxa"/>
            <w:tcBorders>
              <w:top w:val="single" w:sz="8" w:space="0" w:color="auto"/>
              <w:left w:val="single" w:sz="8" w:space="0" w:color="auto"/>
              <w:bottom w:val="double" w:sz="6" w:space="0" w:color="auto"/>
              <w:right w:val="single" w:sz="8" w:space="0" w:color="auto"/>
            </w:tcBorders>
            <w:tcMar>
              <w:top w:w="0" w:type="dxa"/>
              <w:left w:w="70" w:type="dxa"/>
              <w:bottom w:w="0" w:type="dxa"/>
              <w:right w:w="70" w:type="dxa"/>
            </w:tcMar>
            <w:vAlign w:val="center"/>
            <w:hideMark/>
          </w:tcPr>
          <w:p w14:paraId="7342BD8E"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z toho koordinátor (10%)</w:t>
            </w:r>
          </w:p>
        </w:tc>
        <w:tc>
          <w:tcPr>
            <w:tcW w:w="1400" w:type="dxa"/>
            <w:tcBorders>
              <w:top w:val="single" w:sz="8" w:space="0" w:color="auto"/>
              <w:left w:val="nil"/>
              <w:bottom w:val="double" w:sz="6" w:space="0" w:color="auto"/>
              <w:right w:val="single" w:sz="8" w:space="0" w:color="auto"/>
            </w:tcBorders>
            <w:tcMar>
              <w:top w:w="0" w:type="dxa"/>
              <w:left w:w="70" w:type="dxa"/>
              <w:bottom w:w="0" w:type="dxa"/>
              <w:right w:w="70" w:type="dxa"/>
            </w:tcMar>
            <w:vAlign w:val="center"/>
            <w:hideMark/>
          </w:tcPr>
          <w:p w14:paraId="626EE805"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z toho režie (19%)</w:t>
            </w:r>
          </w:p>
        </w:tc>
        <w:tc>
          <w:tcPr>
            <w:tcW w:w="1280" w:type="dxa"/>
            <w:tcBorders>
              <w:top w:val="single" w:sz="8" w:space="0" w:color="auto"/>
              <w:left w:val="nil"/>
              <w:bottom w:val="double" w:sz="6" w:space="0" w:color="auto"/>
              <w:right w:val="single" w:sz="8" w:space="0" w:color="auto"/>
            </w:tcBorders>
            <w:tcMar>
              <w:top w:w="0" w:type="dxa"/>
              <w:left w:w="70" w:type="dxa"/>
              <w:bottom w:w="0" w:type="dxa"/>
              <w:right w:w="70" w:type="dxa"/>
            </w:tcMar>
            <w:vAlign w:val="center"/>
            <w:hideMark/>
          </w:tcPr>
          <w:p w14:paraId="53C7F656"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z toho institut/tým (71%)</w:t>
            </w:r>
          </w:p>
        </w:tc>
        <w:tc>
          <w:tcPr>
            <w:tcW w:w="1300" w:type="dxa"/>
            <w:tcBorders>
              <w:top w:val="single" w:sz="8" w:space="0" w:color="auto"/>
              <w:left w:val="nil"/>
              <w:bottom w:val="double" w:sz="6" w:space="0" w:color="auto"/>
              <w:right w:val="single" w:sz="8" w:space="0" w:color="auto"/>
            </w:tcBorders>
            <w:tcMar>
              <w:top w:w="0" w:type="dxa"/>
              <w:left w:w="70" w:type="dxa"/>
              <w:bottom w:w="0" w:type="dxa"/>
              <w:right w:w="70" w:type="dxa"/>
            </w:tcMar>
            <w:vAlign w:val="center"/>
            <w:hideMark/>
          </w:tcPr>
          <w:p w14:paraId="39421803"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RIV 2009-2013</w:t>
            </w:r>
          </w:p>
        </w:tc>
        <w:tc>
          <w:tcPr>
            <w:tcW w:w="1100" w:type="dxa"/>
            <w:tcBorders>
              <w:top w:val="single" w:sz="8" w:space="0" w:color="auto"/>
              <w:left w:val="nil"/>
              <w:bottom w:val="double" w:sz="6" w:space="0" w:color="auto"/>
              <w:right w:val="single" w:sz="8" w:space="0" w:color="auto"/>
            </w:tcBorders>
            <w:tcMar>
              <w:top w:w="0" w:type="dxa"/>
              <w:left w:w="70" w:type="dxa"/>
              <w:bottom w:w="0" w:type="dxa"/>
              <w:right w:w="70" w:type="dxa"/>
            </w:tcMar>
            <w:vAlign w:val="center"/>
            <w:hideMark/>
          </w:tcPr>
          <w:p w14:paraId="379FEB9B"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podíl v %</w:t>
            </w:r>
          </w:p>
        </w:tc>
      </w:tr>
      <w:tr w:rsidR="00885D38" w:rsidRPr="00885D38" w14:paraId="68B41432" w14:textId="77777777" w:rsidTr="00885D38">
        <w:trPr>
          <w:trHeight w:val="312"/>
        </w:trPr>
        <w:tc>
          <w:tcPr>
            <w:tcW w:w="6220" w:type="dxa"/>
            <w:tcBorders>
              <w:top w:val="nil"/>
              <w:left w:val="single" w:sz="8" w:space="0" w:color="auto"/>
              <w:bottom w:val="nil"/>
              <w:right w:val="nil"/>
            </w:tcBorders>
            <w:shd w:val="clear" w:color="auto" w:fill="FFFFFF"/>
            <w:tcMar>
              <w:top w:w="0" w:type="dxa"/>
              <w:left w:w="70" w:type="dxa"/>
              <w:bottom w:w="0" w:type="dxa"/>
              <w:right w:w="70" w:type="dxa"/>
            </w:tcMar>
            <w:vAlign w:val="center"/>
            <w:hideMark/>
          </w:tcPr>
          <w:p w14:paraId="60B652B2" w14:textId="77777777" w:rsidR="00885D38" w:rsidRPr="00885D38" w:rsidRDefault="00885D38" w:rsidP="00885D38">
            <w:pPr>
              <w:spacing w:before="100" w:beforeAutospacing="1"/>
              <w:ind w:firstLine="180"/>
              <w:jc w:val="right"/>
              <w:rPr>
                <w:rFonts w:ascii="Times New Roman" w:hAnsi="Times New Roman" w:cs="Times New Roman"/>
                <w:lang w:val="cs-CZ" w:eastAsia="en-GB"/>
              </w:rPr>
            </w:pPr>
            <w:proofErr w:type="gramStart"/>
            <w:r w:rsidRPr="00885D38">
              <w:rPr>
                <w:rFonts w:ascii="Arial" w:hAnsi="Arial" w:cs="Arial"/>
                <w:sz w:val="18"/>
                <w:szCs w:val="18"/>
                <w:lang w:val="cs-CZ" w:eastAsia="en-GB"/>
              </w:rPr>
              <w:t>Q24 -</w:t>
            </w:r>
            <w:r w:rsidRPr="00AE6692">
              <w:rPr>
                <w:rFonts w:ascii="Arial" w:hAnsi="Arial" w:cs="Arial"/>
                <w:sz w:val="18"/>
                <w:szCs w:val="18"/>
                <w:lang w:val="cs-CZ" w:eastAsia="en-GB"/>
              </w:rPr>
              <w:t> </w:t>
            </w:r>
            <w:r w:rsidRPr="00885D38">
              <w:rPr>
                <w:rFonts w:ascii="Arial" w:hAnsi="Arial" w:cs="Arial"/>
                <w:sz w:val="18"/>
                <w:szCs w:val="18"/>
                <w:lang w:val="cs-CZ" w:eastAsia="en-GB"/>
              </w:rPr>
              <w:t>IES</w:t>
            </w:r>
            <w:proofErr w:type="gramEnd"/>
          </w:p>
        </w:tc>
        <w:tc>
          <w:tcPr>
            <w:tcW w:w="1800" w:type="dxa"/>
            <w:tcBorders>
              <w:top w:val="nil"/>
              <w:left w:val="single" w:sz="8" w:space="0" w:color="auto"/>
              <w:bottom w:val="nil"/>
              <w:right w:val="nil"/>
            </w:tcBorders>
            <w:shd w:val="clear" w:color="auto" w:fill="FFFFFF"/>
            <w:noWrap/>
            <w:tcMar>
              <w:top w:w="0" w:type="dxa"/>
              <w:left w:w="70" w:type="dxa"/>
              <w:bottom w:w="0" w:type="dxa"/>
              <w:right w:w="70" w:type="dxa"/>
            </w:tcMar>
            <w:vAlign w:val="center"/>
            <w:hideMark/>
          </w:tcPr>
          <w:p w14:paraId="4D8F5FB7"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8 269 605</w:t>
            </w:r>
          </w:p>
        </w:tc>
        <w:tc>
          <w:tcPr>
            <w:tcW w:w="1640" w:type="dxa"/>
            <w:tcBorders>
              <w:top w:val="nil"/>
              <w:left w:val="single" w:sz="8" w:space="0" w:color="auto"/>
              <w:bottom w:val="nil"/>
              <w:right w:val="single" w:sz="8" w:space="0" w:color="auto"/>
            </w:tcBorders>
            <w:shd w:val="clear" w:color="auto" w:fill="FFFFFF"/>
            <w:noWrap/>
            <w:tcMar>
              <w:top w:w="0" w:type="dxa"/>
              <w:left w:w="70" w:type="dxa"/>
              <w:bottom w:w="0" w:type="dxa"/>
              <w:right w:w="70" w:type="dxa"/>
            </w:tcMar>
            <w:vAlign w:val="center"/>
            <w:hideMark/>
          </w:tcPr>
          <w:p w14:paraId="1057BC49"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826 960</w:t>
            </w:r>
          </w:p>
        </w:tc>
        <w:tc>
          <w:tcPr>
            <w:tcW w:w="1400"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10DEF6F8"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1 571 225</w:t>
            </w:r>
          </w:p>
        </w:tc>
        <w:tc>
          <w:tcPr>
            <w:tcW w:w="1280"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4B52F48"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5 871 419</w:t>
            </w:r>
          </w:p>
        </w:tc>
        <w:tc>
          <w:tcPr>
            <w:tcW w:w="1300"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5E3B6EC"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5938,376</w:t>
            </w:r>
          </w:p>
        </w:tc>
        <w:tc>
          <w:tcPr>
            <w:tcW w:w="1100"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4BED4670"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29,89</w:t>
            </w:r>
          </w:p>
        </w:tc>
      </w:tr>
      <w:tr w:rsidR="00885D38" w:rsidRPr="00885D38" w14:paraId="76F20D7E" w14:textId="77777777" w:rsidTr="00885D38">
        <w:trPr>
          <w:trHeight w:val="288"/>
        </w:trPr>
        <w:tc>
          <w:tcPr>
            <w:tcW w:w="6220" w:type="dxa"/>
            <w:tcBorders>
              <w:top w:val="single" w:sz="8" w:space="0" w:color="auto"/>
              <w:left w:val="single" w:sz="8" w:space="0" w:color="auto"/>
              <w:bottom w:val="single" w:sz="8" w:space="0" w:color="auto"/>
              <w:right w:val="nil"/>
            </w:tcBorders>
            <w:shd w:val="clear" w:color="auto" w:fill="DAEEF3"/>
            <w:tcMar>
              <w:top w:w="0" w:type="dxa"/>
              <w:left w:w="70" w:type="dxa"/>
              <w:bottom w:w="0" w:type="dxa"/>
              <w:right w:w="70" w:type="dxa"/>
            </w:tcMar>
            <w:vAlign w:val="center"/>
            <w:hideMark/>
          </w:tcPr>
          <w:p w14:paraId="5F77B660" w14:textId="77777777" w:rsidR="00885D38" w:rsidRPr="00885D38" w:rsidRDefault="00885D38" w:rsidP="00885D38">
            <w:pPr>
              <w:spacing w:before="100" w:beforeAutospacing="1"/>
              <w:ind w:firstLine="180"/>
              <w:jc w:val="right"/>
              <w:rPr>
                <w:rFonts w:ascii="Times New Roman" w:hAnsi="Times New Roman" w:cs="Times New Roman"/>
                <w:lang w:val="cs-CZ" w:eastAsia="en-GB"/>
              </w:rPr>
            </w:pPr>
            <w:proofErr w:type="gramStart"/>
            <w:r w:rsidRPr="00885D38">
              <w:rPr>
                <w:rFonts w:ascii="Arial" w:hAnsi="Arial" w:cs="Arial"/>
                <w:sz w:val="18"/>
                <w:szCs w:val="18"/>
                <w:lang w:val="cs-CZ" w:eastAsia="en-GB"/>
              </w:rPr>
              <w:t>Q18 - IKSŽ</w:t>
            </w:r>
            <w:proofErr w:type="gramEnd"/>
          </w:p>
        </w:tc>
        <w:tc>
          <w:tcPr>
            <w:tcW w:w="1800" w:type="dxa"/>
            <w:tcBorders>
              <w:top w:val="single" w:sz="8" w:space="0" w:color="auto"/>
              <w:left w:val="single" w:sz="8" w:space="0" w:color="auto"/>
              <w:bottom w:val="single" w:sz="8" w:space="0" w:color="auto"/>
              <w:right w:val="nil"/>
            </w:tcBorders>
            <w:shd w:val="clear" w:color="auto" w:fill="DAEEF3"/>
            <w:noWrap/>
            <w:tcMar>
              <w:top w:w="0" w:type="dxa"/>
              <w:left w:w="70" w:type="dxa"/>
              <w:bottom w:w="0" w:type="dxa"/>
              <w:right w:w="70" w:type="dxa"/>
            </w:tcMar>
            <w:vAlign w:val="center"/>
            <w:hideMark/>
          </w:tcPr>
          <w:p w14:paraId="0E9C7684"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2 962 990</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FFFFFF"/>
            <w:noWrap/>
            <w:tcMar>
              <w:top w:w="0" w:type="dxa"/>
              <w:left w:w="70" w:type="dxa"/>
              <w:bottom w:w="0" w:type="dxa"/>
              <w:right w:w="70" w:type="dxa"/>
            </w:tcMar>
            <w:vAlign w:val="center"/>
            <w:hideMark/>
          </w:tcPr>
          <w:p w14:paraId="237B602D"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1 872 934</w:t>
            </w:r>
          </w:p>
        </w:tc>
        <w:tc>
          <w:tcPr>
            <w:tcW w:w="1400" w:type="dxa"/>
            <w:vMerge w:val="restart"/>
            <w:tcBorders>
              <w:top w:val="single" w:sz="8" w:space="0" w:color="auto"/>
              <w:left w:val="nil"/>
              <w:bottom w:val="single" w:sz="8" w:space="0" w:color="auto"/>
              <w:right w:val="nil"/>
            </w:tcBorders>
            <w:shd w:val="clear" w:color="auto" w:fill="FFFFFF"/>
            <w:noWrap/>
            <w:tcMar>
              <w:top w:w="0" w:type="dxa"/>
              <w:left w:w="70" w:type="dxa"/>
              <w:bottom w:w="0" w:type="dxa"/>
              <w:right w:w="70" w:type="dxa"/>
            </w:tcMar>
            <w:vAlign w:val="center"/>
            <w:hideMark/>
          </w:tcPr>
          <w:p w14:paraId="4F2556FE"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3 558 574</w:t>
            </w:r>
          </w:p>
        </w:tc>
        <w:tc>
          <w:tcPr>
            <w:tcW w:w="1280" w:type="dxa"/>
            <w:tcBorders>
              <w:top w:val="single" w:sz="8" w:space="0" w:color="auto"/>
              <w:left w:val="single" w:sz="8" w:space="0" w:color="auto"/>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66873466"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2 103 723</w:t>
            </w:r>
          </w:p>
        </w:tc>
        <w:tc>
          <w:tcPr>
            <w:tcW w:w="1300" w:type="dxa"/>
            <w:tcBorders>
              <w:top w:val="single" w:sz="8" w:space="0" w:color="auto"/>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6BF21CFF"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2127,713</w:t>
            </w:r>
          </w:p>
        </w:tc>
        <w:tc>
          <w:tcPr>
            <w:tcW w:w="1100" w:type="dxa"/>
            <w:tcBorders>
              <w:top w:val="single" w:sz="8" w:space="0" w:color="auto"/>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424F4AB6"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10,71</w:t>
            </w:r>
          </w:p>
        </w:tc>
      </w:tr>
      <w:tr w:rsidR="00885D38" w:rsidRPr="00885D38" w14:paraId="7C35A31B" w14:textId="77777777" w:rsidTr="00885D38">
        <w:trPr>
          <w:trHeight w:val="288"/>
        </w:trPr>
        <w:tc>
          <w:tcPr>
            <w:tcW w:w="6220"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3EFC91C3" w14:textId="77777777" w:rsidR="00885D38" w:rsidRPr="00885D38" w:rsidRDefault="00885D38" w:rsidP="00885D38">
            <w:pPr>
              <w:spacing w:before="100" w:beforeAutospacing="1"/>
              <w:ind w:firstLine="180"/>
              <w:jc w:val="right"/>
              <w:rPr>
                <w:rFonts w:ascii="Times New Roman" w:hAnsi="Times New Roman" w:cs="Times New Roman"/>
                <w:lang w:val="cs-CZ" w:eastAsia="en-GB"/>
              </w:rPr>
            </w:pPr>
            <w:proofErr w:type="gramStart"/>
            <w:r w:rsidRPr="00885D38">
              <w:rPr>
                <w:rFonts w:ascii="Arial" w:hAnsi="Arial" w:cs="Arial"/>
                <w:sz w:val="18"/>
                <w:szCs w:val="18"/>
                <w:lang w:val="cs-CZ" w:eastAsia="en-GB"/>
              </w:rPr>
              <w:t>Q18 -</w:t>
            </w:r>
            <w:r w:rsidRPr="00AE6692">
              <w:rPr>
                <w:rFonts w:ascii="Arial" w:hAnsi="Arial" w:cs="Arial"/>
                <w:sz w:val="18"/>
                <w:szCs w:val="18"/>
                <w:lang w:val="cs-CZ" w:eastAsia="en-GB"/>
              </w:rPr>
              <w:t> </w:t>
            </w:r>
            <w:r w:rsidRPr="00885D38">
              <w:rPr>
                <w:rFonts w:ascii="Arial" w:hAnsi="Arial" w:cs="Arial"/>
                <w:sz w:val="18"/>
                <w:szCs w:val="18"/>
                <w:lang w:val="cs-CZ" w:eastAsia="en-GB"/>
              </w:rPr>
              <w:t>IMS</w:t>
            </w:r>
            <w:proofErr w:type="gramEnd"/>
          </w:p>
        </w:tc>
        <w:tc>
          <w:tcPr>
            <w:tcW w:w="18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7A70AA65"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6 796 247</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F45EC9C" w14:textId="77777777" w:rsidR="00885D38" w:rsidRPr="00885D38" w:rsidRDefault="00885D38" w:rsidP="00885D38">
            <w:pPr>
              <w:rPr>
                <w:rFonts w:ascii="Times New Roman" w:hAnsi="Times New Roman" w:cs="Times New Roman"/>
                <w:lang w:val="cs-CZ" w:eastAsia="en-GB"/>
              </w:rPr>
            </w:pPr>
          </w:p>
        </w:tc>
        <w:tc>
          <w:tcPr>
            <w:tcW w:w="0" w:type="auto"/>
            <w:vMerge/>
            <w:tcBorders>
              <w:top w:val="single" w:sz="8" w:space="0" w:color="auto"/>
              <w:left w:val="nil"/>
              <w:bottom w:val="single" w:sz="8" w:space="0" w:color="auto"/>
              <w:right w:val="nil"/>
            </w:tcBorders>
            <w:vAlign w:val="center"/>
            <w:hideMark/>
          </w:tcPr>
          <w:p w14:paraId="489309B1" w14:textId="77777777" w:rsidR="00885D38" w:rsidRPr="00885D38" w:rsidRDefault="00885D38" w:rsidP="00885D38">
            <w:pPr>
              <w:rPr>
                <w:rFonts w:ascii="Times New Roman" w:hAnsi="Times New Roman" w:cs="Times New Roman"/>
                <w:lang w:val="cs-CZ" w:eastAsia="en-GB"/>
              </w:rPr>
            </w:pPr>
          </w:p>
        </w:tc>
        <w:tc>
          <w:tcPr>
            <w:tcW w:w="12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BE7B027"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4 825 336</w:t>
            </w:r>
          </w:p>
        </w:tc>
        <w:tc>
          <w:tcPr>
            <w:tcW w:w="1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25DB4BE"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4880,363</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FEB9811"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24,57</w:t>
            </w:r>
          </w:p>
        </w:tc>
      </w:tr>
      <w:tr w:rsidR="00885D38" w:rsidRPr="00885D38" w14:paraId="269D5FB5" w14:textId="77777777" w:rsidTr="00885D38">
        <w:trPr>
          <w:trHeight w:val="288"/>
        </w:trPr>
        <w:tc>
          <w:tcPr>
            <w:tcW w:w="6220" w:type="dxa"/>
            <w:tcBorders>
              <w:top w:val="nil"/>
              <w:left w:val="single" w:sz="8" w:space="0" w:color="auto"/>
              <w:bottom w:val="single" w:sz="8" w:space="0" w:color="auto"/>
              <w:right w:val="nil"/>
            </w:tcBorders>
            <w:shd w:val="clear" w:color="auto" w:fill="DAEEF3"/>
            <w:tcMar>
              <w:top w:w="0" w:type="dxa"/>
              <w:left w:w="70" w:type="dxa"/>
              <w:bottom w:w="0" w:type="dxa"/>
              <w:right w:w="70" w:type="dxa"/>
            </w:tcMar>
            <w:vAlign w:val="center"/>
            <w:hideMark/>
          </w:tcPr>
          <w:p w14:paraId="30BF4855" w14:textId="77777777" w:rsidR="00885D38" w:rsidRPr="00885D38" w:rsidRDefault="00885D38" w:rsidP="00885D38">
            <w:pPr>
              <w:spacing w:before="100" w:beforeAutospacing="1"/>
              <w:ind w:firstLine="180"/>
              <w:jc w:val="right"/>
              <w:rPr>
                <w:rFonts w:ascii="Times New Roman" w:hAnsi="Times New Roman" w:cs="Times New Roman"/>
                <w:lang w:val="cs-CZ" w:eastAsia="en-GB"/>
              </w:rPr>
            </w:pPr>
            <w:proofErr w:type="gramStart"/>
            <w:r w:rsidRPr="00885D38">
              <w:rPr>
                <w:rFonts w:ascii="Arial" w:hAnsi="Arial" w:cs="Arial"/>
                <w:sz w:val="18"/>
                <w:szCs w:val="18"/>
                <w:lang w:val="cs-CZ" w:eastAsia="en-GB"/>
              </w:rPr>
              <w:t>Q18 -</w:t>
            </w:r>
            <w:r w:rsidRPr="00AE6692">
              <w:rPr>
                <w:rFonts w:ascii="Arial" w:hAnsi="Arial" w:cs="Arial"/>
                <w:sz w:val="18"/>
                <w:szCs w:val="18"/>
                <w:lang w:val="cs-CZ" w:eastAsia="en-GB"/>
              </w:rPr>
              <w:t> </w:t>
            </w:r>
            <w:r w:rsidRPr="00885D38">
              <w:rPr>
                <w:rFonts w:ascii="Arial" w:hAnsi="Arial" w:cs="Arial"/>
                <w:sz w:val="18"/>
                <w:szCs w:val="18"/>
                <w:lang w:val="cs-CZ" w:eastAsia="en-GB"/>
              </w:rPr>
              <w:t>IPS</w:t>
            </w:r>
            <w:proofErr w:type="gramEnd"/>
          </w:p>
        </w:tc>
        <w:tc>
          <w:tcPr>
            <w:tcW w:w="1800" w:type="dxa"/>
            <w:tcBorders>
              <w:top w:val="nil"/>
              <w:left w:val="single" w:sz="8" w:space="0" w:color="auto"/>
              <w:bottom w:val="single" w:sz="8" w:space="0" w:color="auto"/>
              <w:right w:val="nil"/>
            </w:tcBorders>
            <w:shd w:val="clear" w:color="auto" w:fill="DAEEF3"/>
            <w:noWrap/>
            <w:tcMar>
              <w:top w:w="0" w:type="dxa"/>
              <w:left w:w="70" w:type="dxa"/>
              <w:bottom w:w="0" w:type="dxa"/>
              <w:right w:w="70" w:type="dxa"/>
            </w:tcMar>
            <w:vAlign w:val="center"/>
            <w:hideMark/>
          </w:tcPr>
          <w:p w14:paraId="3546B2BB"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5 103 183</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4437F34" w14:textId="77777777" w:rsidR="00885D38" w:rsidRPr="00885D38" w:rsidRDefault="00885D38" w:rsidP="00885D38">
            <w:pPr>
              <w:rPr>
                <w:rFonts w:ascii="Times New Roman" w:hAnsi="Times New Roman" w:cs="Times New Roman"/>
                <w:lang w:val="cs-CZ" w:eastAsia="en-GB"/>
              </w:rPr>
            </w:pPr>
          </w:p>
        </w:tc>
        <w:tc>
          <w:tcPr>
            <w:tcW w:w="0" w:type="auto"/>
            <w:vMerge/>
            <w:tcBorders>
              <w:top w:val="single" w:sz="8" w:space="0" w:color="auto"/>
              <w:left w:val="nil"/>
              <w:bottom w:val="single" w:sz="8" w:space="0" w:color="auto"/>
              <w:right w:val="nil"/>
            </w:tcBorders>
            <w:vAlign w:val="center"/>
            <w:hideMark/>
          </w:tcPr>
          <w:p w14:paraId="5C73F4D6" w14:textId="77777777" w:rsidR="00885D38" w:rsidRPr="00885D38" w:rsidRDefault="00885D38" w:rsidP="00885D38">
            <w:pPr>
              <w:rPr>
                <w:rFonts w:ascii="Times New Roman" w:hAnsi="Times New Roman" w:cs="Times New Roman"/>
                <w:lang w:val="cs-CZ" w:eastAsia="en-GB"/>
              </w:rPr>
            </w:pPr>
          </w:p>
        </w:tc>
        <w:tc>
          <w:tcPr>
            <w:tcW w:w="1280" w:type="dxa"/>
            <w:tcBorders>
              <w:top w:val="nil"/>
              <w:left w:val="single" w:sz="8" w:space="0" w:color="auto"/>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678494D3"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3 623 260</w:t>
            </w:r>
          </w:p>
        </w:tc>
        <w:tc>
          <w:tcPr>
            <w:tcW w:w="1300"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644E4FBF"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3664,579</w:t>
            </w:r>
          </w:p>
        </w:tc>
        <w:tc>
          <w:tcPr>
            <w:tcW w:w="1100"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2B563E36"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18,45</w:t>
            </w:r>
          </w:p>
        </w:tc>
      </w:tr>
      <w:tr w:rsidR="00885D38" w:rsidRPr="00885D38" w14:paraId="106124DC" w14:textId="77777777" w:rsidTr="00885D38">
        <w:trPr>
          <w:trHeight w:val="288"/>
        </w:trPr>
        <w:tc>
          <w:tcPr>
            <w:tcW w:w="6220"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7E6D5E2B" w14:textId="77777777" w:rsidR="00885D38" w:rsidRPr="00885D38" w:rsidRDefault="00885D38" w:rsidP="00885D38">
            <w:pPr>
              <w:spacing w:before="100" w:beforeAutospacing="1"/>
              <w:ind w:firstLine="180"/>
              <w:jc w:val="right"/>
              <w:rPr>
                <w:rFonts w:ascii="Times New Roman" w:hAnsi="Times New Roman" w:cs="Times New Roman"/>
                <w:lang w:val="cs-CZ" w:eastAsia="en-GB"/>
              </w:rPr>
            </w:pPr>
            <w:proofErr w:type="gramStart"/>
            <w:r w:rsidRPr="00885D38">
              <w:rPr>
                <w:rFonts w:ascii="Arial" w:hAnsi="Arial" w:cs="Arial"/>
                <w:sz w:val="18"/>
                <w:szCs w:val="18"/>
                <w:lang w:val="cs-CZ" w:eastAsia="en-GB"/>
              </w:rPr>
              <w:t>Q18 -</w:t>
            </w:r>
            <w:r w:rsidRPr="00AE6692">
              <w:rPr>
                <w:rFonts w:ascii="Arial" w:hAnsi="Arial" w:cs="Arial"/>
                <w:sz w:val="18"/>
                <w:szCs w:val="18"/>
                <w:lang w:val="cs-CZ" w:eastAsia="en-GB"/>
              </w:rPr>
              <w:t> </w:t>
            </w:r>
            <w:r w:rsidRPr="00885D38">
              <w:rPr>
                <w:rFonts w:ascii="Arial" w:hAnsi="Arial" w:cs="Arial"/>
                <w:sz w:val="18"/>
                <w:szCs w:val="18"/>
                <w:lang w:val="cs-CZ" w:eastAsia="en-GB"/>
              </w:rPr>
              <w:t>ISS</w:t>
            </w:r>
            <w:proofErr w:type="gramEnd"/>
          </w:p>
        </w:tc>
        <w:tc>
          <w:tcPr>
            <w:tcW w:w="1800" w:type="dxa"/>
            <w:tcBorders>
              <w:top w:val="nil"/>
              <w:left w:val="single" w:sz="8" w:space="0" w:color="auto"/>
              <w:bottom w:val="single" w:sz="8" w:space="0" w:color="auto"/>
              <w:right w:val="nil"/>
            </w:tcBorders>
            <w:shd w:val="clear" w:color="auto" w:fill="FFFFFF"/>
            <w:noWrap/>
            <w:tcMar>
              <w:top w:w="0" w:type="dxa"/>
              <w:left w:w="70" w:type="dxa"/>
              <w:bottom w:w="0" w:type="dxa"/>
              <w:right w:w="70" w:type="dxa"/>
            </w:tcMar>
            <w:vAlign w:val="center"/>
            <w:hideMark/>
          </w:tcPr>
          <w:p w14:paraId="44C29966"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2 457 556</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7883A89B" w14:textId="77777777" w:rsidR="00885D38" w:rsidRPr="00885D38" w:rsidRDefault="00885D38" w:rsidP="00885D38">
            <w:pPr>
              <w:rPr>
                <w:rFonts w:ascii="Times New Roman" w:hAnsi="Times New Roman" w:cs="Times New Roman"/>
                <w:lang w:val="cs-CZ" w:eastAsia="en-GB"/>
              </w:rPr>
            </w:pPr>
          </w:p>
        </w:tc>
        <w:tc>
          <w:tcPr>
            <w:tcW w:w="0" w:type="auto"/>
            <w:vMerge/>
            <w:tcBorders>
              <w:top w:val="single" w:sz="8" w:space="0" w:color="auto"/>
              <w:left w:val="nil"/>
              <w:bottom w:val="single" w:sz="8" w:space="0" w:color="auto"/>
              <w:right w:val="nil"/>
            </w:tcBorders>
            <w:vAlign w:val="center"/>
            <w:hideMark/>
          </w:tcPr>
          <w:p w14:paraId="6DE8383E" w14:textId="77777777" w:rsidR="00885D38" w:rsidRPr="00885D38" w:rsidRDefault="00885D38" w:rsidP="00885D38">
            <w:pPr>
              <w:rPr>
                <w:rFonts w:ascii="Times New Roman" w:hAnsi="Times New Roman" w:cs="Times New Roman"/>
                <w:lang w:val="cs-CZ" w:eastAsia="en-GB"/>
              </w:rPr>
            </w:pPr>
          </w:p>
        </w:tc>
        <w:tc>
          <w:tcPr>
            <w:tcW w:w="128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0C29F22"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1 744 865</w:t>
            </w:r>
          </w:p>
        </w:tc>
        <w:tc>
          <w:tcPr>
            <w:tcW w:w="1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55F9186"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1764,763</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E5EA808"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8,88</w:t>
            </w:r>
          </w:p>
        </w:tc>
      </w:tr>
      <w:tr w:rsidR="00885D38" w:rsidRPr="00885D38" w14:paraId="18F1D6BE" w14:textId="77777777" w:rsidTr="00885D38">
        <w:trPr>
          <w:trHeight w:val="300"/>
        </w:trPr>
        <w:tc>
          <w:tcPr>
            <w:tcW w:w="6220" w:type="dxa"/>
            <w:tcBorders>
              <w:top w:val="nil"/>
              <w:left w:val="single" w:sz="8" w:space="0" w:color="auto"/>
              <w:bottom w:val="single" w:sz="8" w:space="0" w:color="auto"/>
              <w:right w:val="nil"/>
            </w:tcBorders>
            <w:shd w:val="clear" w:color="auto" w:fill="CCFFFF"/>
            <w:tcMar>
              <w:top w:w="0" w:type="dxa"/>
              <w:left w:w="70" w:type="dxa"/>
              <w:bottom w:w="0" w:type="dxa"/>
              <w:right w:w="70" w:type="dxa"/>
            </w:tcMar>
            <w:vAlign w:val="center"/>
            <w:hideMark/>
          </w:tcPr>
          <w:p w14:paraId="79CFB966" w14:textId="77777777" w:rsidR="00885D38" w:rsidRPr="00885D38" w:rsidRDefault="00885D38" w:rsidP="00885D38">
            <w:pPr>
              <w:spacing w:before="100" w:beforeAutospacing="1"/>
              <w:ind w:firstLine="180"/>
              <w:jc w:val="right"/>
              <w:rPr>
                <w:rFonts w:ascii="Times New Roman" w:hAnsi="Times New Roman" w:cs="Times New Roman"/>
                <w:lang w:val="cs-CZ" w:eastAsia="en-GB"/>
              </w:rPr>
            </w:pPr>
            <w:proofErr w:type="gramStart"/>
            <w:r w:rsidRPr="00885D38">
              <w:rPr>
                <w:rFonts w:ascii="Arial" w:hAnsi="Arial" w:cs="Arial"/>
                <w:sz w:val="18"/>
                <w:szCs w:val="18"/>
                <w:lang w:val="cs-CZ" w:eastAsia="en-GB"/>
              </w:rPr>
              <w:t>Q18 -</w:t>
            </w:r>
            <w:r w:rsidRPr="00AE6692">
              <w:rPr>
                <w:rFonts w:ascii="Arial" w:hAnsi="Arial" w:cs="Arial"/>
                <w:sz w:val="18"/>
                <w:szCs w:val="18"/>
                <w:lang w:val="cs-CZ" w:eastAsia="en-GB"/>
              </w:rPr>
              <w:t> </w:t>
            </w:r>
            <w:r w:rsidRPr="00885D38">
              <w:rPr>
                <w:rFonts w:ascii="Arial" w:hAnsi="Arial" w:cs="Arial"/>
                <w:sz w:val="18"/>
                <w:szCs w:val="18"/>
                <w:lang w:val="cs-CZ" w:eastAsia="en-GB"/>
              </w:rPr>
              <w:t>CESES</w:t>
            </w:r>
            <w:proofErr w:type="gramEnd"/>
          </w:p>
        </w:tc>
        <w:tc>
          <w:tcPr>
            <w:tcW w:w="1800" w:type="dxa"/>
            <w:tcBorders>
              <w:top w:val="nil"/>
              <w:left w:val="single" w:sz="8" w:space="0" w:color="auto"/>
              <w:bottom w:val="single" w:sz="8" w:space="0" w:color="auto"/>
              <w:right w:val="nil"/>
            </w:tcBorders>
            <w:shd w:val="clear" w:color="auto" w:fill="DAEEF3"/>
            <w:noWrap/>
            <w:tcMar>
              <w:top w:w="0" w:type="dxa"/>
              <w:left w:w="70" w:type="dxa"/>
              <w:bottom w:w="0" w:type="dxa"/>
              <w:right w:w="70" w:type="dxa"/>
            </w:tcMar>
            <w:vAlign w:val="center"/>
            <w:hideMark/>
          </w:tcPr>
          <w:p w14:paraId="31088813"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1 409 363</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F590ADC" w14:textId="77777777" w:rsidR="00885D38" w:rsidRPr="00885D38" w:rsidRDefault="00885D38" w:rsidP="00885D38">
            <w:pPr>
              <w:rPr>
                <w:rFonts w:ascii="Times New Roman" w:hAnsi="Times New Roman" w:cs="Times New Roman"/>
                <w:lang w:val="cs-CZ" w:eastAsia="en-GB"/>
              </w:rPr>
            </w:pPr>
          </w:p>
        </w:tc>
        <w:tc>
          <w:tcPr>
            <w:tcW w:w="0" w:type="auto"/>
            <w:vMerge/>
            <w:tcBorders>
              <w:top w:val="single" w:sz="8" w:space="0" w:color="auto"/>
              <w:left w:val="nil"/>
              <w:bottom w:val="single" w:sz="8" w:space="0" w:color="auto"/>
              <w:right w:val="nil"/>
            </w:tcBorders>
            <w:vAlign w:val="center"/>
            <w:hideMark/>
          </w:tcPr>
          <w:p w14:paraId="0602581E" w14:textId="77777777" w:rsidR="00885D38" w:rsidRPr="00885D38" w:rsidRDefault="00885D38" w:rsidP="00885D38">
            <w:pPr>
              <w:rPr>
                <w:rFonts w:ascii="Times New Roman" w:hAnsi="Times New Roman" w:cs="Times New Roman"/>
                <w:lang w:val="cs-CZ" w:eastAsia="en-GB"/>
              </w:rPr>
            </w:pPr>
          </w:p>
        </w:tc>
        <w:tc>
          <w:tcPr>
            <w:tcW w:w="1280" w:type="dxa"/>
            <w:tcBorders>
              <w:top w:val="nil"/>
              <w:left w:val="single" w:sz="8" w:space="0" w:color="auto"/>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22FB213C"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1 000 648</w:t>
            </w:r>
          </w:p>
        </w:tc>
        <w:tc>
          <w:tcPr>
            <w:tcW w:w="1300"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1736C654"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1012,059</w:t>
            </w:r>
          </w:p>
        </w:tc>
        <w:tc>
          <w:tcPr>
            <w:tcW w:w="1100"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2B633B97"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5,09</w:t>
            </w:r>
          </w:p>
        </w:tc>
      </w:tr>
      <w:tr w:rsidR="00885D38" w:rsidRPr="00885D38" w14:paraId="746FD284" w14:textId="77777777" w:rsidTr="00885D38">
        <w:trPr>
          <w:trHeight w:val="288"/>
        </w:trPr>
        <w:tc>
          <w:tcPr>
            <w:tcW w:w="622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0C7E40F" w14:textId="77777777" w:rsidR="00885D38" w:rsidRPr="00885D38" w:rsidRDefault="00885D38" w:rsidP="00885D38">
            <w:pPr>
              <w:spacing w:before="100" w:beforeAutospacing="1"/>
              <w:ind w:firstLine="180"/>
              <w:jc w:val="right"/>
              <w:rPr>
                <w:rFonts w:ascii="Times New Roman" w:hAnsi="Times New Roman" w:cs="Times New Roman"/>
                <w:lang w:val="cs-CZ" w:eastAsia="en-GB"/>
              </w:rPr>
            </w:pPr>
            <w:r w:rsidRPr="00885D38">
              <w:rPr>
                <w:rFonts w:ascii="Arial" w:hAnsi="Arial" w:cs="Arial"/>
                <w:sz w:val="18"/>
                <w:szCs w:val="18"/>
                <w:lang w:val="cs-CZ" w:eastAsia="en-GB"/>
              </w:rPr>
              <w:t xml:space="preserve">Q22 </w:t>
            </w:r>
            <w:proofErr w:type="gramStart"/>
            <w:r w:rsidRPr="00885D38">
              <w:rPr>
                <w:rFonts w:ascii="Arial" w:hAnsi="Arial" w:cs="Arial"/>
                <w:sz w:val="18"/>
                <w:szCs w:val="18"/>
                <w:lang w:val="cs-CZ" w:eastAsia="en-GB"/>
              </w:rPr>
              <w:t>FHS - ISS</w:t>
            </w:r>
            <w:proofErr w:type="gramEnd"/>
            <w:r w:rsidRPr="00885D38">
              <w:rPr>
                <w:rFonts w:ascii="Arial" w:hAnsi="Arial" w:cs="Arial"/>
                <w:sz w:val="18"/>
                <w:szCs w:val="18"/>
                <w:lang w:val="cs-CZ" w:eastAsia="en-GB"/>
              </w:rPr>
              <w:t xml:space="preserve"> (J. Grygar)</w:t>
            </w:r>
          </w:p>
        </w:tc>
        <w:tc>
          <w:tcPr>
            <w:tcW w:w="1800" w:type="dxa"/>
            <w:tcBorders>
              <w:top w:val="nil"/>
              <w:left w:val="nil"/>
              <w:bottom w:val="single" w:sz="8" w:space="0" w:color="auto"/>
              <w:right w:val="nil"/>
            </w:tcBorders>
            <w:shd w:val="clear" w:color="auto" w:fill="FFFFFF"/>
            <w:noWrap/>
            <w:tcMar>
              <w:top w:w="0" w:type="dxa"/>
              <w:left w:w="70" w:type="dxa"/>
              <w:bottom w:w="0" w:type="dxa"/>
              <w:right w:w="70" w:type="dxa"/>
            </w:tcMar>
            <w:vAlign w:val="center"/>
            <w:hideMark/>
          </w:tcPr>
          <w:p w14:paraId="5F84CD4B"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172 386</w:t>
            </w:r>
          </w:p>
        </w:tc>
        <w:tc>
          <w:tcPr>
            <w:tcW w:w="164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4C498C8"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25 858</w:t>
            </w:r>
          </w:p>
        </w:tc>
        <w:tc>
          <w:tcPr>
            <w:tcW w:w="14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525DEAB"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32 753</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8DBE778"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color w:val="000000"/>
                <w:sz w:val="18"/>
                <w:szCs w:val="18"/>
                <w:lang w:val="cs-CZ" w:eastAsia="en-GB"/>
              </w:rPr>
              <w:t>113 775</w:t>
            </w:r>
          </w:p>
        </w:tc>
        <w:tc>
          <w:tcPr>
            <w:tcW w:w="1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74B938D"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123,790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9686177"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0,62</w:t>
            </w:r>
          </w:p>
        </w:tc>
      </w:tr>
      <w:tr w:rsidR="00885D38" w:rsidRPr="00885D38" w14:paraId="5BFA8189" w14:textId="77777777" w:rsidTr="00885D38">
        <w:trPr>
          <w:trHeight w:val="288"/>
        </w:trPr>
        <w:tc>
          <w:tcPr>
            <w:tcW w:w="6220" w:type="dxa"/>
            <w:tcBorders>
              <w:top w:val="nil"/>
              <w:left w:val="single" w:sz="8" w:space="0" w:color="auto"/>
              <w:bottom w:val="single" w:sz="8" w:space="0" w:color="auto"/>
              <w:right w:val="single" w:sz="8" w:space="0" w:color="auto"/>
            </w:tcBorders>
            <w:shd w:val="clear" w:color="auto" w:fill="DAEEF3"/>
            <w:tcMar>
              <w:top w:w="0" w:type="dxa"/>
              <w:left w:w="70" w:type="dxa"/>
              <w:bottom w:w="0" w:type="dxa"/>
              <w:right w:w="70" w:type="dxa"/>
            </w:tcMar>
            <w:vAlign w:val="center"/>
            <w:hideMark/>
          </w:tcPr>
          <w:p w14:paraId="00EC0C51" w14:textId="77777777" w:rsidR="00885D38" w:rsidRPr="00885D38" w:rsidRDefault="00885D38" w:rsidP="00885D38">
            <w:pPr>
              <w:spacing w:before="100" w:beforeAutospacing="1"/>
              <w:ind w:firstLine="180"/>
              <w:jc w:val="right"/>
              <w:rPr>
                <w:rFonts w:ascii="Times New Roman" w:hAnsi="Times New Roman" w:cs="Times New Roman"/>
                <w:lang w:val="cs-CZ" w:eastAsia="en-GB"/>
              </w:rPr>
            </w:pPr>
            <w:r w:rsidRPr="00885D38">
              <w:rPr>
                <w:rFonts w:ascii="Arial" w:hAnsi="Arial" w:cs="Arial"/>
                <w:sz w:val="18"/>
                <w:szCs w:val="18"/>
                <w:lang w:val="cs-CZ" w:eastAsia="en-GB"/>
              </w:rPr>
              <w:t xml:space="preserve">Q15 </w:t>
            </w:r>
            <w:proofErr w:type="gramStart"/>
            <w:r w:rsidRPr="00885D38">
              <w:rPr>
                <w:rFonts w:ascii="Arial" w:hAnsi="Arial" w:cs="Arial"/>
                <w:sz w:val="18"/>
                <w:szCs w:val="18"/>
                <w:lang w:val="cs-CZ" w:eastAsia="en-GB"/>
              </w:rPr>
              <w:t>FF - ISS</w:t>
            </w:r>
            <w:proofErr w:type="gramEnd"/>
            <w:r w:rsidRPr="00885D38">
              <w:rPr>
                <w:rFonts w:ascii="Arial" w:hAnsi="Arial" w:cs="Arial"/>
                <w:sz w:val="18"/>
                <w:szCs w:val="18"/>
                <w:lang w:val="cs-CZ" w:eastAsia="en-GB"/>
              </w:rPr>
              <w:t xml:space="preserve"> (H. Jeřábek)</w:t>
            </w:r>
          </w:p>
        </w:tc>
        <w:tc>
          <w:tcPr>
            <w:tcW w:w="1800" w:type="dxa"/>
            <w:tcBorders>
              <w:top w:val="nil"/>
              <w:left w:val="nil"/>
              <w:bottom w:val="single" w:sz="8" w:space="0" w:color="auto"/>
              <w:right w:val="nil"/>
            </w:tcBorders>
            <w:shd w:val="clear" w:color="auto" w:fill="DAEEF3"/>
            <w:noWrap/>
            <w:tcMar>
              <w:top w:w="0" w:type="dxa"/>
              <w:left w:w="70" w:type="dxa"/>
              <w:bottom w:w="0" w:type="dxa"/>
              <w:right w:w="70" w:type="dxa"/>
            </w:tcMar>
            <w:vAlign w:val="center"/>
            <w:hideMark/>
          </w:tcPr>
          <w:p w14:paraId="7AA1245D"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200 101</w:t>
            </w:r>
          </w:p>
        </w:tc>
        <w:tc>
          <w:tcPr>
            <w:tcW w:w="1640" w:type="dxa"/>
            <w:tcBorders>
              <w:top w:val="nil"/>
              <w:left w:val="single" w:sz="8" w:space="0" w:color="auto"/>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12FCF2AF"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20 010</w:t>
            </w:r>
          </w:p>
        </w:tc>
        <w:tc>
          <w:tcPr>
            <w:tcW w:w="1400"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0CF6DC00"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38 019</w:t>
            </w:r>
          </w:p>
        </w:tc>
        <w:tc>
          <w:tcPr>
            <w:tcW w:w="1280"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756296DB"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142 072</w:t>
            </w:r>
          </w:p>
        </w:tc>
        <w:tc>
          <w:tcPr>
            <w:tcW w:w="1300"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62424BDD"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143,692</w:t>
            </w:r>
          </w:p>
        </w:tc>
        <w:tc>
          <w:tcPr>
            <w:tcW w:w="1100" w:type="dxa"/>
            <w:tcBorders>
              <w:top w:val="nil"/>
              <w:left w:val="nil"/>
              <w:bottom w:val="single" w:sz="8" w:space="0" w:color="auto"/>
              <w:right w:val="single" w:sz="8" w:space="0" w:color="auto"/>
            </w:tcBorders>
            <w:shd w:val="clear" w:color="auto" w:fill="DAEEF3"/>
            <w:noWrap/>
            <w:tcMar>
              <w:top w:w="0" w:type="dxa"/>
              <w:left w:w="70" w:type="dxa"/>
              <w:bottom w:w="0" w:type="dxa"/>
              <w:right w:w="70" w:type="dxa"/>
            </w:tcMar>
            <w:vAlign w:val="center"/>
            <w:hideMark/>
          </w:tcPr>
          <w:p w14:paraId="24654450"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0,72</w:t>
            </w:r>
          </w:p>
        </w:tc>
      </w:tr>
      <w:tr w:rsidR="00885D38" w:rsidRPr="00885D38" w14:paraId="09C1D2FA" w14:textId="77777777" w:rsidTr="00885D38">
        <w:trPr>
          <w:trHeight w:val="288"/>
        </w:trPr>
        <w:tc>
          <w:tcPr>
            <w:tcW w:w="622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44841C2" w14:textId="77777777" w:rsidR="00885D38" w:rsidRPr="00885D38" w:rsidRDefault="00885D38" w:rsidP="00885D38">
            <w:pPr>
              <w:spacing w:before="100" w:beforeAutospacing="1"/>
              <w:ind w:firstLine="180"/>
              <w:jc w:val="right"/>
              <w:rPr>
                <w:rFonts w:ascii="Times New Roman" w:hAnsi="Times New Roman" w:cs="Times New Roman"/>
                <w:lang w:val="cs-CZ" w:eastAsia="en-GB"/>
              </w:rPr>
            </w:pPr>
            <w:r w:rsidRPr="00885D38">
              <w:rPr>
                <w:rFonts w:ascii="Arial" w:hAnsi="Arial" w:cs="Arial"/>
                <w:sz w:val="18"/>
                <w:szCs w:val="18"/>
                <w:lang w:val="cs-CZ" w:eastAsia="en-GB"/>
              </w:rPr>
              <w:t xml:space="preserve">Q19 </w:t>
            </w:r>
            <w:proofErr w:type="gramStart"/>
            <w:r w:rsidRPr="00885D38">
              <w:rPr>
                <w:rFonts w:ascii="Arial" w:hAnsi="Arial" w:cs="Arial"/>
                <w:sz w:val="18"/>
                <w:szCs w:val="18"/>
                <w:lang w:val="cs-CZ" w:eastAsia="en-GB"/>
              </w:rPr>
              <w:t>FTVS - IKSŽ</w:t>
            </w:r>
            <w:proofErr w:type="gramEnd"/>
          </w:p>
        </w:tc>
        <w:tc>
          <w:tcPr>
            <w:tcW w:w="18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30F72E9"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140 845</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2B840C5"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14 084</w:t>
            </w:r>
          </w:p>
        </w:tc>
        <w:tc>
          <w:tcPr>
            <w:tcW w:w="14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41997D2A"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26 760</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3863858E"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100 000</w:t>
            </w:r>
          </w:p>
        </w:tc>
        <w:tc>
          <w:tcPr>
            <w:tcW w:w="1300" w:type="dxa"/>
            <w:tcBorders>
              <w:top w:val="nil"/>
              <w:left w:val="nil"/>
              <w:bottom w:val="nil"/>
              <w:right w:val="single" w:sz="8" w:space="0" w:color="auto"/>
            </w:tcBorders>
            <w:shd w:val="clear" w:color="auto" w:fill="FFFFFF"/>
            <w:noWrap/>
            <w:tcMar>
              <w:top w:w="0" w:type="dxa"/>
              <w:left w:w="70" w:type="dxa"/>
              <w:bottom w:w="0" w:type="dxa"/>
              <w:right w:w="70" w:type="dxa"/>
            </w:tcMar>
            <w:vAlign w:val="center"/>
            <w:hideMark/>
          </w:tcPr>
          <w:p w14:paraId="5D07757F"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101,140</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2336BF9"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0,51</w:t>
            </w:r>
          </w:p>
        </w:tc>
      </w:tr>
      <w:tr w:rsidR="00885D38" w:rsidRPr="00885D38" w14:paraId="50FFB303" w14:textId="77777777" w:rsidTr="00885D38">
        <w:trPr>
          <w:trHeight w:val="300"/>
        </w:trPr>
        <w:tc>
          <w:tcPr>
            <w:tcW w:w="6220" w:type="dxa"/>
            <w:tcBorders>
              <w:top w:val="nil"/>
              <w:left w:val="nil"/>
              <w:bottom w:val="double" w:sz="6" w:space="0" w:color="auto"/>
              <w:right w:val="single" w:sz="8" w:space="0" w:color="auto"/>
            </w:tcBorders>
            <w:shd w:val="clear" w:color="auto" w:fill="DAEEF3"/>
            <w:tcMar>
              <w:top w:w="0" w:type="dxa"/>
              <w:left w:w="70" w:type="dxa"/>
              <w:bottom w:w="0" w:type="dxa"/>
              <w:right w:w="70" w:type="dxa"/>
            </w:tcMar>
            <w:vAlign w:val="center"/>
            <w:hideMark/>
          </w:tcPr>
          <w:p w14:paraId="6BC7780B" w14:textId="77777777" w:rsidR="00885D38" w:rsidRPr="00885D38" w:rsidRDefault="00885D38" w:rsidP="00885D38">
            <w:pPr>
              <w:spacing w:before="100" w:beforeAutospacing="1"/>
              <w:ind w:firstLine="180"/>
              <w:jc w:val="right"/>
              <w:rPr>
                <w:rFonts w:ascii="Times New Roman" w:hAnsi="Times New Roman" w:cs="Times New Roman"/>
                <w:lang w:val="cs-CZ" w:eastAsia="en-GB"/>
              </w:rPr>
            </w:pPr>
            <w:r w:rsidRPr="00885D38">
              <w:rPr>
                <w:rFonts w:ascii="Arial" w:hAnsi="Arial" w:cs="Arial"/>
                <w:sz w:val="18"/>
                <w:szCs w:val="18"/>
                <w:lang w:val="cs-CZ" w:eastAsia="en-GB"/>
              </w:rPr>
              <w:t xml:space="preserve">Q04 </w:t>
            </w:r>
            <w:proofErr w:type="gramStart"/>
            <w:r w:rsidRPr="00885D38">
              <w:rPr>
                <w:rFonts w:ascii="Arial" w:hAnsi="Arial" w:cs="Arial"/>
                <w:sz w:val="18"/>
                <w:szCs w:val="18"/>
                <w:lang w:val="cs-CZ" w:eastAsia="en-GB"/>
              </w:rPr>
              <w:t>PF - IMS</w:t>
            </w:r>
            <w:proofErr w:type="gramEnd"/>
            <w:r w:rsidRPr="00885D38">
              <w:rPr>
                <w:rFonts w:ascii="Arial" w:hAnsi="Arial" w:cs="Arial"/>
                <w:sz w:val="18"/>
                <w:szCs w:val="18"/>
                <w:lang w:val="cs-CZ" w:eastAsia="en-GB"/>
              </w:rPr>
              <w:t xml:space="preserve"> - IPS</w:t>
            </w:r>
          </w:p>
        </w:tc>
        <w:tc>
          <w:tcPr>
            <w:tcW w:w="1800" w:type="dxa"/>
            <w:tcBorders>
              <w:top w:val="nil"/>
              <w:left w:val="nil"/>
              <w:bottom w:val="double" w:sz="6" w:space="0" w:color="auto"/>
              <w:right w:val="single" w:sz="8" w:space="0" w:color="auto"/>
            </w:tcBorders>
            <w:shd w:val="clear" w:color="auto" w:fill="DAEEF3"/>
            <w:noWrap/>
            <w:tcMar>
              <w:top w:w="0" w:type="dxa"/>
              <w:left w:w="70" w:type="dxa"/>
              <w:bottom w:w="0" w:type="dxa"/>
              <w:right w:w="70" w:type="dxa"/>
            </w:tcMar>
            <w:vAlign w:val="center"/>
            <w:hideMark/>
          </w:tcPr>
          <w:p w14:paraId="5E5529CF"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150 004</w:t>
            </w:r>
          </w:p>
        </w:tc>
        <w:tc>
          <w:tcPr>
            <w:tcW w:w="1640" w:type="dxa"/>
            <w:tcBorders>
              <w:top w:val="nil"/>
              <w:left w:val="nil"/>
              <w:bottom w:val="double" w:sz="6" w:space="0" w:color="auto"/>
              <w:right w:val="single" w:sz="8" w:space="0" w:color="auto"/>
            </w:tcBorders>
            <w:shd w:val="clear" w:color="auto" w:fill="DAEEF3"/>
            <w:noWrap/>
            <w:tcMar>
              <w:top w:w="0" w:type="dxa"/>
              <w:left w:w="70" w:type="dxa"/>
              <w:bottom w:w="0" w:type="dxa"/>
              <w:right w:w="70" w:type="dxa"/>
            </w:tcMar>
            <w:vAlign w:val="center"/>
            <w:hideMark/>
          </w:tcPr>
          <w:p w14:paraId="0431C371"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30 001</w:t>
            </w:r>
          </w:p>
        </w:tc>
        <w:tc>
          <w:tcPr>
            <w:tcW w:w="1400" w:type="dxa"/>
            <w:tcBorders>
              <w:top w:val="nil"/>
              <w:left w:val="nil"/>
              <w:bottom w:val="double" w:sz="6" w:space="0" w:color="auto"/>
              <w:right w:val="single" w:sz="8" w:space="0" w:color="auto"/>
            </w:tcBorders>
            <w:shd w:val="clear" w:color="auto" w:fill="DAEEF3"/>
            <w:noWrap/>
            <w:tcMar>
              <w:top w:w="0" w:type="dxa"/>
              <w:left w:w="70" w:type="dxa"/>
              <w:bottom w:w="0" w:type="dxa"/>
              <w:right w:w="70" w:type="dxa"/>
            </w:tcMar>
            <w:vAlign w:val="center"/>
            <w:hideMark/>
          </w:tcPr>
          <w:p w14:paraId="04238658"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28 501</w:t>
            </w:r>
          </w:p>
        </w:tc>
        <w:tc>
          <w:tcPr>
            <w:tcW w:w="1280" w:type="dxa"/>
            <w:tcBorders>
              <w:top w:val="nil"/>
              <w:left w:val="nil"/>
              <w:bottom w:val="double" w:sz="6" w:space="0" w:color="auto"/>
              <w:right w:val="single" w:sz="8" w:space="0" w:color="auto"/>
            </w:tcBorders>
            <w:shd w:val="clear" w:color="auto" w:fill="DAEEF3"/>
            <w:noWrap/>
            <w:tcMar>
              <w:top w:w="0" w:type="dxa"/>
              <w:left w:w="70" w:type="dxa"/>
              <w:bottom w:w="0" w:type="dxa"/>
              <w:right w:w="70" w:type="dxa"/>
            </w:tcMar>
            <w:vAlign w:val="center"/>
            <w:hideMark/>
          </w:tcPr>
          <w:p w14:paraId="61E58B99"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sz w:val="18"/>
                <w:szCs w:val="18"/>
                <w:lang w:val="cs-CZ" w:eastAsia="en-GB"/>
              </w:rPr>
              <w:t>91 502</w:t>
            </w:r>
          </w:p>
        </w:tc>
        <w:tc>
          <w:tcPr>
            <w:tcW w:w="1300" w:type="dxa"/>
            <w:tcBorders>
              <w:top w:val="single" w:sz="8" w:space="0" w:color="auto"/>
              <w:left w:val="nil"/>
              <w:bottom w:val="double" w:sz="6" w:space="0" w:color="auto"/>
              <w:right w:val="single" w:sz="8" w:space="0" w:color="auto"/>
            </w:tcBorders>
            <w:shd w:val="clear" w:color="auto" w:fill="DAEEF3"/>
            <w:noWrap/>
            <w:tcMar>
              <w:top w:w="0" w:type="dxa"/>
              <w:left w:w="70" w:type="dxa"/>
              <w:bottom w:w="0" w:type="dxa"/>
              <w:right w:w="70" w:type="dxa"/>
            </w:tcMar>
            <w:vAlign w:val="center"/>
            <w:hideMark/>
          </w:tcPr>
          <w:p w14:paraId="3E295E2C"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107,717</w:t>
            </w:r>
          </w:p>
        </w:tc>
        <w:tc>
          <w:tcPr>
            <w:tcW w:w="1100" w:type="dxa"/>
            <w:tcBorders>
              <w:top w:val="nil"/>
              <w:left w:val="nil"/>
              <w:bottom w:val="double" w:sz="6" w:space="0" w:color="auto"/>
              <w:right w:val="single" w:sz="8" w:space="0" w:color="auto"/>
            </w:tcBorders>
            <w:shd w:val="clear" w:color="auto" w:fill="FFFFFF"/>
            <w:noWrap/>
            <w:tcMar>
              <w:top w:w="0" w:type="dxa"/>
              <w:left w:w="70" w:type="dxa"/>
              <w:bottom w:w="0" w:type="dxa"/>
              <w:right w:w="70" w:type="dxa"/>
            </w:tcMar>
            <w:vAlign w:val="center"/>
            <w:hideMark/>
          </w:tcPr>
          <w:p w14:paraId="540EA5E9"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i/>
                <w:iCs/>
                <w:sz w:val="16"/>
                <w:szCs w:val="16"/>
                <w:lang w:val="cs-CZ" w:eastAsia="en-GB"/>
              </w:rPr>
              <w:t>0,54</w:t>
            </w:r>
          </w:p>
        </w:tc>
      </w:tr>
      <w:tr w:rsidR="00885D38" w:rsidRPr="00885D38" w14:paraId="181EE815" w14:textId="77777777" w:rsidTr="00885D38">
        <w:trPr>
          <w:trHeight w:val="312"/>
        </w:trPr>
        <w:tc>
          <w:tcPr>
            <w:tcW w:w="6220" w:type="dxa"/>
            <w:tcBorders>
              <w:top w:val="nil"/>
              <w:left w:val="single" w:sz="8" w:space="0" w:color="auto"/>
              <w:bottom w:val="single" w:sz="8" w:space="0" w:color="auto"/>
              <w:right w:val="nil"/>
            </w:tcBorders>
            <w:shd w:val="clear" w:color="auto" w:fill="FFFFFF"/>
            <w:tcMar>
              <w:top w:w="0" w:type="dxa"/>
              <w:left w:w="70" w:type="dxa"/>
              <w:bottom w:w="0" w:type="dxa"/>
              <w:right w:w="70" w:type="dxa"/>
            </w:tcMar>
            <w:vAlign w:val="center"/>
            <w:hideMark/>
          </w:tcPr>
          <w:p w14:paraId="7C834BFC" w14:textId="77777777" w:rsidR="00885D38" w:rsidRPr="00885D38" w:rsidRDefault="00885D38" w:rsidP="00885D38">
            <w:pPr>
              <w:spacing w:before="100" w:beforeAutospacing="1"/>
              <w:ind w:firstLine="180"/>
              <w:jc w:val="right"/>
              <w:rPr>
                <w:rFonts w:ascii="Times New Roman" w:hAnsi="Times New Roman" w:cs="Times New Roman"/>
                <w:lang w:val="cs-CZ" w:eastAsia="en-GB"/>
              </w:rPr>
            </w:pPr>
            <w:r w:rsidRPr="00885D38">
              <w:rPr>
                <w:rFonts w:ascii="Arial" w:hAnsi="Arial" w:cs="Arial"/>
                <w:b/>
                <w:bCs/>
                <w:sz w:val="18"/>
                <w:szCs w:val="18"/>
                <w:lang w:val="cs-CZ" w:eastAsia="en-GB"/>
              </w:rPr>
              <w:t>Celkem</w:t>
            </w:r>
          </w:p>
        </w:tc>
        <w:tc>
          <w:tcPr>
            <w:tcW w:w="1800"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06F0D7"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b/>
                <w:bCs/>
                <w:sz w:val="18"/>
                <w:szCs w:val="18"/>
                <w:lang w:val="cs-CZ" w:eastAsia="en-GB"/>
              </w:rPr>
              <w:t>27 662 280</w:t>
            </w:r>
          </w:p>
        </w:tc>
        <w:tc>
          <w:tcPr>
            <w:tcW w:w="164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9525055"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b/>
                <w:bCs/>
                <w:color w:val="000000"/>
                <w:sz w:val="18"/>
                <w:szCs w:val="18"/>
                <w:lang w:val="cs-CZ" w:eastAsia="en-GB"/>
              </w:rPr>
              <w:t>2 789 848</w:t>
            </w:r>
          </w:p>
        </w:tc>
        <w:tc>
          <w:tcPr>
            <w:tcW w:w="14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5E099C1"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b/>
                <w:bCs/>
                <w:color w:val="000000"/>
                <w:sz w:val="18"/>
                <w:szCs w:val="18"/>
                <w:lang w:val="cs-CZ" w:eastAsia="en-GB"/>
              </w:rPr>
              <w:t>5 255 833</w:t>
            </w:r>
          </w:p>
        </w:tc>
        <w:tc>
          <w:tcPr>
            <w:tcW w:w="128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247768E4"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b/>
                <w:bCs/>
                <w:color w:val="000000"/>
                <w:sz w:val="18"/>
                <w:szCs w:val="18"/>
                <w:lang w:val="cs-CZ" w:eastAsia="en-GB"/>
              </w:rPr>
              <w:t>19 616 599</w:t>
            </w:r>
          </w:p>
        </w:tc>
        <w:tc>
          <w:tcPr>
            <w:tcW w:w="13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3FFBC43"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b/>
                <w:bCs/>
                <w:i/>
                <w:iCs/>
                <w:sz w:val="16"/>
                <w:szCs w:val="16"/>
                <w:lang w:val="cs-CZ" w:eastAsia="en-GB"/>
              </w:rPr>
              <w:t>19864,192</w:t>
            </w:r>
          </w:p>
        </w:tc>
        <w:tc>
          <w:tcPr>
            <w:tcW w:w="1100"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54E60A1D" w14:textId="77777777" w:rsidR="00885D38" w:rsidRPr="00885D38" w:rsidRDefault="00885D38" w:rsidP="00885D38">
            <w:pPr>
              <w:spacing w:before="100" w:beforeAutospacing="1"/>
              <w:jc w:val="center"/>
              <w:rPr>
                <w:rFonts w:ascii="Times New Roman" w:hAnsi="Times New Roman" w:cs="Times New Roman"/>
                <w:lang w:val="cs-CZ" w:eastAsia="en-GB"/>
              </w:rPr>
            </w:pPr>
            <w:r w:rsidRPr="00885D38">
              <w:rPr>
                <w:rFonts w:ascii="Arial" w:hAnsi="Arial" w:cs="Arial"/>
                <w:b/>
                <w:bCs/>
                <w:i/>
                <w:iCs/>
                <w:sz w:val="16"/>
                <w:szCs w:val="16"/>
                <w:lang w:val="cs-CZ" w:eastAsia="en-GB"/>
              </w:rPr>
              <w:t>100,00</w:t>
            </w:r>
          </w:p>
        </w:tc>
      </w:tr>
    </w:tbl>
    <w:p w14:paraId="74BA3688" w14:textId="77777777" w:rsidR="0095471F" w:rsidRPr="00AE6692" w:rsidRDefault="0095471F">
      <w:pPr>
        <w:rPr>
          <w:lang w:val="cs-CZ"/>
        </w:rPr>
      </w:pPr>
    </w:p>
    <w:p w14:paraId="1AA4DA14" w14:textId="239CD26F" w:rsidR="00AE6692" w:rsidRPr="00AE6692" w:rsidRDefault="00AE6692">
      <w:pPr>
        <w:rPr>
          <w:lang w:val="cs-CZ"/>
        </w:rPr>
      </w:pPr>
      <w:r w:rsidRPr="00AE6692">
        <w:rPr>
          <w:lang w:val="cs-CZ"/>
        </w:rPr>
        <w:t xml:space="preserve">S pozdravením, Jakub </w:t>
      </w:r>
      <w:proofErr w:type="spellStart"/>
      <w:r w:rsidRPr="00AE6692">
        <w:rPr>
          <w:lang w:val="cs-CZ"/>
        </w:rPr>
        <w:t>Končelík</w:t>
      </w:r>
      <w:proofErr w:type="spellEnd"/>
    </w:p>
    <w:sectPr w:rsidR="00AE6692" w:rsidRPr="00AE6692" w:rsidSect="00885D38">
      <w:pgSz w:w="16840" w:h="11900" w:orient="landscape"/>
      <w:pgMar w:top="1417" w:right="1417" w:bottom="1417" w:left="1417" w:header="708" w:footer="708" w:gutter="0"/>
      <w:cols w:space="708"/>
      <w:docGrid w:linePitch="360"/>
      <w:printerSettings r:id="rId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D38"/>
    <w:rsid w:val="005F09CE"/>
    <w:rsid w:val="00693082"/>
    <w:rsid w:val="00885D38"/>
    <w:rsid w:val="0095471F"/>
    <w:rsid w:val="00AB3439"/>
    <w:rsid w:val="00AC2595"/>
    <w:rsid w:val="00AE6692"/>
    <w:rsid w:val="00B411A5"/>
    <w:rsid w:val="00C3685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42A8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5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729565">
      <w:bodyDiv w:val="1"/>
      <w:marLeft w:val="0"/>
      <w:marRight w:val="0"/>
      <w:marTop w:val="0"/>
      <w:marBottom w:val="0"/>
      <w:divBdr>
        <w:top w:val="none" w:sz="0" w:space="0" w:color="auto"/>
        <w:left w:val="none" w:sz="0" w:space="0" w:color="auto"/>
        <w:bottom w:val="none" w:sz="0" w:space="0" w:color="auto"/>
        <w:right w:val="none" w:sz="0" w:space="0" w:color="auto"/>
      </w:divBdr>
      <w:divsChild>
        <w:div w:id="1732729515">
          <w:marLeft w:val="0"/>
          <w:marRight w:val="0"/>
          <w:marTop w:val="0"/>
          <w:marBottom w:val="0"/>
          <w:divBdr>
            <w:top w:val="none" w:sz="0" w:space="0" w:color="auto"/>
            <w:left w:val="none" w:sz="0" w:space="0" w:color="auto"/>
            <w:bottom w:val="none" w:sz="0" w:space="0" w:color="auto"/>
            <w:right w:val="none" w:sz="0" w:space="0" w:color="auto"/>
          </w:divBdr>
          <w:divsChild>
            <w:div w:id="865022885">
              <w:marLeft w:val="0"/>
              <w:marRight w:val="0"/>
              <w:marTop w:val="0"/>
              <w:marBottom w:val="0"/>
              <w:divBdr>
                <w:top w:val="none" w:sz="0" w:space="0" w:color="auto"/>
                <w:left w:val="none" w:sz="0" w:space="0" w:color="auto"/>
                <w:bottom w:val="none" w:sz="0" w:space="0" w:color="auto"/>
                <w:right w:val="none" w:sz="0" w:space="0" w:color="auto"/>
              </w:divBdr>
              <w:divsChild>
                <w:div w:id="2041274447">
                  <w:marLeft w:val="0"/>
                  <w:marRight w:val="0"/>
                  <w:marTop w:val="0"/>
                  <w:marBottom w:val="0"/>
                  <w:divBdr>
                    <w:top w:val="none" w:sz="0" w:space="0" w:color="auto"/>
                    <w:left w:val="none" w:sz="0" w:space="0" w:color="auto"/>
                    <w:bottom w:val="none" w:sz="0" w:space="0" w:color="auto"/>
                    <w:right w:val="none" w:sz="0" w:space="0" w:color="auto"/>
                  </w:divBdr>
                </w:div>
                <w:div w:id="1216964137">
                  <w:marLeft w:val="0"/>
                  <w:marRight w:val="0"/>
                  <w:marTop w:val="0"/>
                  <w:marBottom w:val="0"/>
                  <w:divBdr>
                    <w:top w:val="none" w:sz="0" w:space="0" w:color="auto"/>
                    <w:left w:val="none" w:sz="0" w:space="0" w:color="auto"/>
                    <w:bottom w:val="none" w:sz="0" w:space="0" w:color="auto"/>
                    <w:right w:val="none" w:sz="0" w:space="0" w:color="auto"/>
                  </w:divBdr>
                </w:div>
                <w:div w:id="1311400489">
                  <w:marLeft w:val="0"/>
                  <w:marRight w:val="0"/>
                  <w:marTop w:val="0"/>
                  <w:marBottom w:val="0"/>
                  <w:divBdr>
                    <w:top w:val="none" w:sz="0" w:space="0" w:color="auto"/>
                    <w:left w:val="none" w:sz="0" w:space="0" w:color="auto"/>
                    <w:bottom w:val="none" w:sz="0" w:space="0" w:color="auto"/>
                    <w:right w:val="none" w:sz="0" w:space="0" w:color="auto"/>
                  </w:divBdr>
                </w:div>
                <w:div w:id="15116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389</Words>
  <Characters>2219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c:creator>
  <cp:keywords/>
  <dc:description/>
  <cp:lastModifiedBy>DE</cp:lastModifiedBy>
  <cp:revision>2</cp:revision>
  <dcterms:created xsi:type="dcterms:W3CDTF">2017-02-28T17:09:00Z</dcterms:created>
  <dcterms:modified xsi:type="dcterms:W3CDTF">2017-02-28T17:16:00Z</dcterms:modified>
</cp:coreProperties>
</file>