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0F" w:rsidRDefault="00370C0F" w:rsidP="00F445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FXB</w:t>
      </w:r>
    </w:p>
    <w:p w:rsidR="00370C0F" w:rsidRDefault="00370C0F" w:rsidP="00F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0F" w:rsidRDefault="00370C0F" w:rsidP="00F4455D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Gramatická část:</w:t>
      </w:r>
    </w:p>
    <w:p w:rsidR="00370C0F" w:rsidRDefault="00370C0F" w:rsidP="00F4455D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Přečtěte si větu a označte v mřížce KŘÍŽKEM variantu, která danou větu nejlépe doplňuje.</w:t>
      </w:r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.....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dix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syndicats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d'Air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France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appellent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salariés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à se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mobiliser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nouveau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pour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augmentation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leurs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salaires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Des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Les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De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Du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Paul et Julie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vont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au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cinéma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On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vient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avec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..... ?</w:t>
      </w:r>
      <w:proofErr w:type="gramEnd"/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eux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leurs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ils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leur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….. tu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apporté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au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secrétariat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?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Qu´est-ce</w:t>
      </w:r>
      <w:proofErr w:type="spellEnd"/>
      <w:r>
        <w:rPr>
          <w:rFonts w:ascii="Times New Roman" w:hAnsi="Times New Roman"/>
          <w:sz w:val="20"/>
          <w:szCs w:val="20"/>
        </w:rPr>
        <w:t xml:space="preserve"> qui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Qu´est-ce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que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Qui </w:t>
      </w:r>
      <w:proofErr w:type="spellStart"/>
      <w:r>
        <w:rPr>
          <w:rFonts w:ascii="Times New Roman" w:hAnsi="Times New Roman"/>
          <w:sz w:val="20"/>
          <w:szCs w:val="20"/>
        </w:rPr>
        <w:t>est-ce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que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Qui </w:t>
      </w:r>
      <w:proofErr w:type="spellStart"/>
      <w:r>
        <w:rPr>
          <w:rFonts w:ascii="Times New Roman" w:hAnsi="Times New Roman"/>
          <w:sz w:val="20"/>
          <w:szCs w:val="20"/>
        </w:rPr>
        <w:t>est-ce</w:t>
      </w:r>
      <w:proofErr w:type="spellEnd"/>
      <w:r>
        <w:rPr>
          <w:rFonts w:ascii="Times New Roman" w:hAnsi="Times New Roman"/>
          <w:sz w:val="20"/>
          <w:szCs w:val="20"/>
        </w:rPr>
        <w:t xml:space="preserve"> qui</w:t>
      </w:r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Vos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parents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savent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mieux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..... vous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avez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besoin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ce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dont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que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ce</w:t>
      </w:r>
      <w:proofErr w:type="spellEnd"/>
      <w:r>
        <w:rPr>
          <w:rFonts w:ascii="Times New Roman" w:hAnsi="Times New Roman"/>
          <w:sz w:val="20"/>
          <w:szCs w:val="20"/>
        </w:rPr>
        <w:t xml:space="preserve"> qui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quoi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….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était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absent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?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Aucun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Nul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Quelqu´un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Personne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La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mère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..... en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colère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contre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enfants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qui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faisaient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bruit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insupportable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s´est</w:t>
      </w:r>
      <w:proofErr w:type="spellEnd"/>
      <w:r>
        <w:rPr>
          <w:rFonts w:ascii="Times New Roman" w:hAnsi="Times New Roman"/>
          <w:sz w:val="20"/>
          <w:szCs w:val="20"/>
        </w:rPr>
        <w:t xml:space="preserve"> mise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s´est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mis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a mis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met</w:t>
      </w:r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Bien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qu´elle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..... au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courant,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il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ne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veut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toujours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pas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accepter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cette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situation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tient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tienne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tenait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tenu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J´ai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choisi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faculté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sciences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sociales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parce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que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j´..... de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bonnes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références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aurai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aurais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avais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aurais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ab/>
        <w:t>..... en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France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depuis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longtemps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amie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parle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très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bien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français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Vivante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Vivant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Vivre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Vécu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10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Notre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prof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nous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a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fait .....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toutes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les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leçons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Pr="00F4455D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de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réviser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réviser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à </w:t>
      </w:r>
      <w:proofErr w:type="spellStart"/>
      <w:r>
        <w:rPr>
          <w:rFonts w:ascii="Times New Roman" w:hAnsi="Times New Roman"/>
          <w:sz w:val="20"/>
          <w:szCs w:val="20"/>
        </w:rPr>
        <w:t>réviser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pour</w:t>
      </w:r>
      <w:proofErr w:type="spellEnd"/>
    </w:p>
    <w:p w:rsidR="00370C0F" w:rsidRDefault="00370C0F" w:rsidP="00F4455D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Lexikální část:</w:t>
      </w:r>
    </w:p>
    <w:p w:rsidR="00370C0F" w:rsidRDefault="00370C0F" w:rsidP="00F4455D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Přečtěte si větu a označte v mřížce KŘÍŽKEM variantu, která danou větu nejlépe doplňuje.</w:t>
      </w:r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11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maire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doit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prendre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..... de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dossier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savoir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connaissance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courant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information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Pour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leur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..... ,  les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pays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africains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besoin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d´argent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déracinement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dévouement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développement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déroulement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13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Si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rien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ne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change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tout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s’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effondrera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.....,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autre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voie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est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possible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Volontiers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Puisque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Or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Quand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14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Il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y 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quelques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semaines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magazine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Sciences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Humaines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invitait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ses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lecteurs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à .....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leur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avis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sur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qui fait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bonne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école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aujourd’hui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prévenir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avoir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donner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apprendre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15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Les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expériences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sur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soumission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à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l’autorité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continuent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à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susciter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beaucoup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discussions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..... .</w:t>
      </w:r>
      <w:proofErr w:type="gramEnd"/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bibliques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numériques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physiques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scientifiques</w:t>
      </w:r>
      <w:proofErr w:type="spellEnd"/>
    </w:p>
    <w:p w:rsidR="00370C0F" w:rsidRDefault="00370C0F" w:rsidP="00F4455D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IIIa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Textová část:</w:t>
      </w:r>
    </w:p>
    <w:p w:rsidR="00370C0F" w:rsidRDefault="00370C0F" w:rsidP="00F4455D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Přečtěte si následující text a označte v mřížce KŘÍŽKEM variantu, která věty v textu nejlépe doplňuje.</w:t>
      </w:r>
    </w:p>
    <w:p w:rsidR="00370C0F" w:rsidRDefault="00370C0F" w:rsidP="00F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intellectuels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dans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combat</w:t>
      </w:r>
      <w:proofErr w:type="spellEnd"/>
    </w:p>
    <w:p w:rsidR="00370C0F" w:rsidRDefault="00370C0F" w:rsidP="00F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Très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vite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après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condamnation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capitaine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Dreyfus,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mouvement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d'opinion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naît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en France en faveur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(16).....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du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procès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L'Affaire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Dreyfus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marque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l'avènement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mobilisation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intellectuels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17).....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décision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arbitraire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mobilisation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rendue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possible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par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18).....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implication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presse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L'opinion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19).....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alors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en «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dreyfusards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» et «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antidreyfusards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». «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J'accuse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… ! »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cri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d'Emile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Zola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à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journal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l'Aurore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sonne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ralliement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intellectuels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pour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20).....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capitaine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Dreyfus.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C'est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pour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première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fois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que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l'on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voit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dans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pays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tout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qui fait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gloire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la (21).....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française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s'insurger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contre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l'inaction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et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faiblesse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gouvernement et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demander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d'arrêter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scandale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(22) ..... .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réhabilitation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capitaine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Dreyfus en 1906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marque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triomphe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23)..... 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Née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L'Affaire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Dreyfus, (24)..... des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intellectuels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sera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désormais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constante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vie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politique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et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civique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française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Durant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Seconde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Guerre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mondiale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de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nombreux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dreyfusards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sont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25)..... par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régime de Vichy et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rejoignent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Résistance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16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d'une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révision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d'un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abus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d'une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division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d'une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révolte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17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contre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avec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sauf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sans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18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large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contente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petite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minimale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19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se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rejoint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se </w:t>
      </w:r>
      <w:proofErr w:type="spellStart"/>
      <w:r>
        <w:rPr>
          <w:rFonts w:ascii="Times New Roman" w:hAnsi="Times New Roman"/>
          <w:sz w:val="20"/>
          <w:szCs w:val="20"/>
        </w:rPr>
        <w:t>rencontre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se divise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se </w:t>
      </w:r>
      <w:proofErr w:type="spellStart"/>
      <w:r>
        <w:rPr>
          <w:rFonts w:ascii="Times New Roman" w:hAnsi="Times New Roman"/>
          <w:sz w:val="20"/>
          <w:szCs w:val="20"/>
        </w:rPr>
        <w:t>rappelle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20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l'accusation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la </w:t>
      </w:r>
      <w:proofErr w:type="spellStart"/>
      <w:r>
        <w:rPr>
          <w:rFonts w:ascii="Times New Roman" w:hAnsi="Times New Roman"/>
          <w:sz w:val="20"/>
          <w:szCs w:val="20"/>
        </w:rPr>
        <w:t>défense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la </w:t>
      </w:r>
      <w:proofErr w:type="spellStart"/>
      <w:r>
        <w:rPr>
          <w:rFonts w:ascii="Times New Roman" w:hAnsi="Times New Roman"/>
          <w:sz w:val="20"/>
          <w:szCs w:val="20"/>
        </w:rPr>
        <w:t>défaite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mouvement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21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panne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patriote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peine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patrie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22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extérieur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judiciaire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mineur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routier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23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de</w:t>
      </w:r>
      <w:proofErr w:type="gram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capacité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mensonge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de la </w:t>
      </w:r>
      <w:proofErr w:type="spellStart"/>
      <w:r>
        <w:rPr>
          <w:rFonts w:ascii="Times New Roman" w:hAnsi="Times New Roman"/>
          <w:sz w:val="20"/>
          <w:szCs w:val="20"/>
        </w:rPr>
        <w:t>vérité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de la </w:t>
      </w:r>
      <w:proofErr w:type="spellStart"/>
      <w:r>
        <w:rPr>
          <w:rFonts w:ascii="Times New Roman" w:hAnsi="Times New Roman"/>
          <w:sz w:val="20"/>
          <w:szCs w:val="20"/>
        </w:rPr>
        <w:t>défaite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24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la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protection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la </w:t>
      </w:r>
      <w:proofErr w:type="spellStart"/>
      <w:r>
        <w:rPr>
          <w:rFonts w:ascii="Times New Roman" w:hAnsi="Times New Roman"/>
          <w:sz w:val="20"/>
          <w:szCs w:val="20"/>
        </w:rPr>
        <w:t>fête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l'éducation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la </w:t>
      </w:r>
      <w:proofErr w:type="spellStart"/>
      <w:r>
        <w:rPr>
          <w:rFonts w:ascii="Times New Roman" w:hAnsi="Times New Roman"/>
          <w:sz w:val="20"/>
          <w:szCs w:val="20"/>
        </w:rPr>
        <w:t>mobilisation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25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partis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pourchassés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récompensés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refusés</w:t>
      </w:r>
      <w:proofErr w:type="spellEnd"/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0F" w:rsidRPr="00F4455D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0F" w:rsidRDefault="00370C0F" w:rsidP="00F4455D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IIIb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Textová část:</w:t>
      </w:r>
    </w:p>
    <w:p w:rsidR="00370C0F" w:rsidRDefault="00370C0F" w:rsidP="00F4455D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V očíslovaných větách následujícího textu jsou podtrženy čtyři výrazy. Z každé čtveřice výrazů vyberte jeden, který je třeba opravit, aby věta byla správně. Zvolenou odpověď označte v odpovědním listu křížkem.</w:t>
      </w:r>
    </w:p>
    <w:p w:rsidR="00370C0F" w:rsidRDefault="00370C0F" w:rsidP="00F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(26)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Situé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dans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l’est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la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Pologne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forêt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Bialowieza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est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la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mieux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protégée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continent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(27)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D’importantes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zones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été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préservées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l’intervention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humaniste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(28)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De fait</w:t>
      </w:r>
      <w:r>
        <w:rPr>
          <w:rFonts w:ascii="Times New Roman" w:hAnsi="Times New Roman"/>
          <w:b/>
          <w:bCs/>
          <w:sz w:val="20"/>
          <w:szCs w:val="20"/>
        </w:rPr>
        <w:t xml:space="preserve">, on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trouve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dans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cette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forêt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vieux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10 000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ans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écosystèmes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uniques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Par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exemple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les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derniers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bisons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sauvages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d’Europe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y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trouvé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refuge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Mais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menace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plane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sur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certains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arbres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invasion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d’insectes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xylophages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ravage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épicéas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(29)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Pour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gouvernement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seul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moyen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saucer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forêt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c’est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d’abattre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conifères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malades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(30) A contrario, des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scientifiques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et des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écologistes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estiment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que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forêt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doit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se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régénère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26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Situé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la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Pologne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la </w:t>
      </w:r>
      <w:proofErr w:type="spellStart"/>
      <w:r>
        <w:rPr>
          <w:rFonts w:ascii="Times New Roman" w:hAnsi="Times New Roman"/>
          <w:sz w:val="20"/>
          <w:szCs w:val="20"/>
        </w:rPr>
        <w:t>mieux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protégée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27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D’importantes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l’intervention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humaniste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28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De</w:t>
      </w:r>
      <w:proofErr w:type="gramEnd"/>
      <w:r>
        <w:rPr>
          <w:rFonts w:ascii="Times New Roman" w:hAnsi="Times New Roman"/>
          <w:sz w:val="20"/>
          <w:szCs w:val="20"/>
        </w:rPr>
        <w:t xml:space="preserve"> fait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vieux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10 000 </w:t>
      </w:r>
      <w:proofErr w:type="spellStart"/>
      <w:r>
        <w:rPr>
          <w:rFonts w:ascii="Times New Roman" w:hAnsi="Times New Roman"/>
          <w:sz w:val="20"/>
          <w:szCs w:val="20"/>
        </w:rPr>
        <w:t>ans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écosystèmes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29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Pour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le</w:t>
      </w:r>
      <w:proofErr w:type="spellEnd"/>
      <w:r>
        <w:rPr>
          <w:rFonts w:ascii="Times New Roman" w:hAnsi="Times New Roman"/>
          <w:sz w:val="20"/>
          <w:szCs w:val="20"/>
        </w:rPr>
        <w:t xml:space="preserve"> gouvernement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saucer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d’abattre</w:t>
      </w:r>
      <w:proofErr w:type="spellEnd"/>
    </w:p>
    <w:p w:rsidR="00370C0F" w:rsidRDefault="00370C0F" w:rsidP="00F4455D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30</w:t>
      </w:r>
    </w:p>
    <w:p w:rsidR="00370C0F" w:rsidRDefault="00370C0F" w:rsidP="00F4455D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scientifiques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estiment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que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 se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régénère</w:t>
      </w:r>
      <w:proofErr w:type="spellEnd"/>
    </w:p>
    <w:p w:rsidR="00370C0F" w:rsidRDefault="00370C0F" w:rsidP="00F4455D">
      <w:pPr>
        <w:pStyle w:val="Nadpis2"/>
        <w:rPr>
          <w:rFonts w:ascii="Times New Roman" w:hAnsi="Times New Roman"/>
          <w:i w:val="0"/>
          <w:color w:val="000000"/>
          <w:sz w:val="20"/>
          <w:szCs w:val="20"/>
        </w:rPr>
      </w:pPr>
    </w:p>
    <w:p w:rsidR="00370C0F" w:rsidRPr="006743D1" w:rsidRDefault="00370C0F" w:rsidP="00F4455D">
      <w:pPr>
        <w:pStyle w:val="Nadpis2"/>
        <w:rPr>
          <w:rFonts w:ascii="Times New Roman" w:hAnsi="Times New Roman"/>
          <w:i w:val="0"/>
          <w:color w:val="000000"/>
          <w:sz w:val="20"/>
          <w:szCs w:val="20"/>
        </w:rPr>
      </w:pPr>
      <w:r>
        <w:rPr>
          <w:rFonts w:ascii="Times New Roman" w:hAnsi="Times New Roman"/>
          <w:i w:val="0"/>
          <w:color w:val="000000"/>
          <w:sz w:val="20"/>
          <w:szCs w:val="20"/>
        </w:rPr>
        <w:t>Klíč</w:t>
      </w:r>
      <w:r>
        <w:rPr>
          <w:rFonts w:ascii="Times New Roman" w:hAnsi="Times New Roman"/>
          <w:i w:val="0"/>
          <w:color w:val="000000"/>
          <w:sz w:val="20"/>
          <w:szCs w:val="20"/>
        </w:rPr>
        <w:tab/>
        <w:t>F</w:t>
      </w:r>
      <w:r w:rsidRPr="006743D1">
        <w:rPr>
          <w:rFonts w:ascii="Times New Roman" w:hAnsi="Times New Roman"/>
          <w:i w:val="0"/>
          <w:color w:val="000000"/>
          <w:sz w:val="20"/>
          <w:szCs w:val="20"/>
        </w:rPr>
        <w:t>XB</w:t>
      </w:r>
    </w:p>
    <w:p w:rsidR="00370C0F" w:rsidRDefault="00370C0F" w:rsidP="00F4455D"/>
    <w:tbl>
      <w:tblPr>
        <w:tblpPr w:leftFromText="141" w:rightFromText="141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888"/>
        <w:gridCol w:w="835"/>
        <w:gridCol w:w="809"/>
        <w:gridCol w:w="763"/>
        <w:gridCol w:w="811"/>
        <w:gridCol w:w="845"/>
        <w:gridCol w:w="729"/>
        <w:gridCol w:w="16"/>
      </w:tblGrid>
      <w:tr w:rsidR="00370C0F" w:rsidRPr="00891E30" w:rsidTr="00477A3E">
        <w:trPr>
          <w:gridAfter w:val="1"/>
          <w:wAfter w:w="16" w:type="dxa"/>
          <w:cantSplit/>
          <w:trHeight w:val="252"/>
        </w:trPr>
        <w:tc>
          <w:tcPr>
            <w:tcW w:w="1797" w:type="dxa"/>
            <w:gridSpan w:val="2"/>
          </w:tcPr>
          <w:p w:rsidR="00370C0F" w:rsidRPr="00891E30" w:rsidRDefault="00370C0F" w:rsidP="00477A3E">
            <w:pPr>
              <w:rPr>
                <w:rFonts w:ascii="Times New Roman" w:hAnsi="Times New Roman"/>
                <w:sz w:val="24"/>
                <w:szCs w:val="24"/>
              </w:rPr>
            </w:pPr>
            <w:r w:rsidRPr="00891E30">
              <w:rPr>
                <w:rFonts w:ascii="Times New Roman" w:hAnsi="Times New Roman"/>
                <w:b/>
                <w:bCs/>
                <w:sz w:val="24"/>
                <w:szCs w:val="24"/>
              </w:rPr>
              <w:t>I. gramatická část</w:t>
            </w:r>
          </w:p>
        </w:tc>
        <w:tc>
          <w:tcPr>
            <w:tcW w:w="1644" w:type="dxa"/>
            <w:gridSpan w:val="2"/>
          </w:tcPr>
          <w:p w:rsidR="00370C0F" w:rsidRPr="004A636B" w:rsidRDefault="00370C0F" w:rsidP="00477A3E">
            <w:pPr>
              <w:pStyle w:val="Nadpis1"/>
              <w:rPr>
                <w:rFonts w:eastAsia="Times New Roman"/>
                <w:sz w:val="24"/>
                <w:szCs w:val="24"/>
              </w:rPr>
            </w:pPr>
            <w:r w:rsidRPr="004A636B">
              <w:rPr>
                <w:rFonts w:eastAsia="Times New Roman"/>
                <w:sz w:val="24"/>
                <w:szCs w:val="24"/>
              </w:rPr>
              <w:t>II. lexikální část</w:t>
            </w:r>
          </w:p>
        </w:tc>
        <w:tc>
          <w:tcPr>
            <w:tcW w:w="1574" w:type="dxa"/>
            <w:gridSpan w:val="2"/>
          </w:tcPr>
          <w:p w:rsidR="00370C0F" w:rsidRPr="004A636B" w:rsidRDefault="00370C0F" w:rsidP="00477A3E">
            <w:pPr>
              <w:pStyle w:val="Nadpis1"/>
              <w:rPr>
                <w:rFonts w:eastAsia="Times New Roman"/>
                <w:sz w:val="24"/>
                <w:szCs w:val="24"/>
              </w:rPr>
            </w:pPr>
            <w:r w:rsidRPr="004A636B">
              <w:rPr>
                <w:rFonts w:eastAsia="Times New Roman"/>
                <w:sz w:val="24"/>
                <w:szCs w:val="24"/>
              </w:rPr>
              <w:t>III. textová část a)</w:t>
            </w:r>
          </w:p>
        </w:tc>
        <w:tc>
          <w:tcPr>
            <w:tcW w:w="1574" w:type="dxa"/>
            <w:gridSpan w:val="2"/>
          </w:tcPr>
          <w:p w:rsidR="00370C0F" w:rsidRPr="00891E30" w:rsidRDefault="00370C0F" w:rsidP="00477A3E">
            <w:pPr>
              <w:rPr>
                <w:rFonts w:ascii="Times New Roman" w:hAnsi="Times New Roman"/>
                <w:sz w:val="24"/>
                <w:szCs w:val="24"/>
              </w:rPr>
            </w:pPr>
            <w:r w:rsidRPr="00891E30">
              <w:rPr>
                <w:rFonts w:ascii="Times New Roman" w:hAnsi="Times New Roman"/>
                <w:b/>
                <w:bCs/>
                <w:sz w:val="24"/>
                <w:szCs w:val="24"/>
              </w:rPr>
              <w:t>III. textová část</w:t>
            </w:r>
            <w:r w:rsidRPr="0089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E30">
              <w:rPr>
                <w:rFonts w:ascii="Times New Roman" w:hAnsi="Times New Roman"/>
                <w:b/>
                <w:bCs/>
                <w:sz w:val="24"/>
                <w:szCs w:val="24"/>
              </w:rPr>
              <w:t>b)</w:t>
            </w: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1</w:t>
            </w:r>
          </w:p>
        </w:tc>
        <w:tc>
          <w:tcPr>
            <w:tcW w:w="888" w:type="dxa"/>
          </w:tcPr>
          <w:p w:rsidR="00370C0F" w:rsidRPr="00F4455D" w:rsidRDefault="00370C0F" w:rsidP="00477A3E">
            <w:pPr>
              <w:pStyle w:val="Nadpis3"/>
              <w:jc w:val="left"/>
              <w:rPr>
                <w:rFonts w:ascii="Calibri" w:hAnsi="Calibri"/>
                <w:sz w:val="22"/>
                <w:szCs w:val="22"/>
              </w:rPr>
            </w:pPr>
            <w:r w:rsidRPr="00F4455D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jc w:val="right"/>
            </w:pPr>
            <w:r w:rsidRPr="00891E30">
              <w:t>11</w:t>
            </w:r>
          </w:p>
        </w:tc>
        <w:tc>
          <w:tcPr>
            <w:tcW w:w="809" w:type="dxa"/>
          </w:tcPr>
          <w:p w:rsidR="00370C0F" w:rsidRPr="00F4455D" w:rsidRDefault="00370C0F" w:rsidP="00477A3E">
            <w:pPr>
              <w:pStyle w:val="Nadpis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</w:pPr>
            <w:r w:rsidRPr="00891E30">
              <w:t>16</w:t>
            </w:r>
          </w:p>
        </w:tc>
        <w:tc>
          <w:tcPr>
            <w:tcW w:w="811" w:type="dxa"/>
          </w:tcPr>
          <w:p w:rsidR="00370C0F" w:rsidRPr="00891E30" w:rsidRDefault="00370C0F" w:rsidP="00477A3E">
            <w:pPr>
              <w:rPr>
                <w:b/>
              </w:rPr>
            </w:pPr>
            <w:r w:rsidRPr="00891E30">
              <w:rPr>
                <w:b/>
              </w:rPr>
              <w:t>A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jc w:val="right"/>
            </w:pPr>
            <w:r w:rsidRPr="00891E30">
              <w:t>26</w:t>
            </w:r>
          </w:p>
        </w:tc>
        <w:tc>
          <w:tcPr>
            <w:tcW w:w="745" w:type="dxa"/>
            <w:gridSpan w:val="2"/>
          </w:tcPr>
          <w:p w:rsidR="00370C0F" w:rsidRPr="00F4455D" w:rsidRDefault="00370C0F" w:rsidP="00477A3E">
            <w:pPr>
              <w:pStyle w:val="Nadpis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2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A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jc w:val="right"/>
            </w:pPr>
            <w:r w:rsidRPr="00891E30">
              <w:t>12</w:t>
            </w: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C</w:t>
            </w: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</w:pPr>
            <w:r w:rsidRPr="00891E30">
              <w:t>17</w:t>
            </w:r>
          </w:p>
        </w:tc>
        <w:tc>
          <w:tcPr>
            <w:tcW w:w="811" w:type="dxa"/>
          </w:tcPr>
          <w:p w:rsidR="00370C0F" w:rsidRPr="00891E30" w:rsidRDefault="00370C0F" w:rsidP="00477A3E">
            <w:r w:rsidRPr="00891E30">
              <w:rPr>
                <w:b/>
                <w:bCs/>
              </w:rPr>
              <w:t>A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jc w:val="right"/>
            </w:pPr>
            <w:r w:rsidRPr="00891E30">
              <w:t>27</w:t>
            </w: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D</w:t>
            </w: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3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jc w:val="right"/>
            </w:pPr>
            <w:r w:rsidRPr="00891E30">
              <w:t>13</w:t>
            </w: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C</w:t>
            </w: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</w:pPr>
            <w:r w:rsidRPr="00891E30">
              <w:t>18</w:t>
            </w:r>
          </w:p>
        </w:tc>
        <w:tc>
          <w:tcPr>
            <w:tcW w:w="811" w:type="dxa"/>
          </w:tcPr>
          <w:p w:rsidR="00370C0F" w:rsidRPr="00891E30" w:rsidRDefault="00370C0F" w:rsidP="00477A3E">
            <w:r w:rsidRPr="00891E30">
              <w:rPr>
                <w:b/>
                <w:bCs/>
              </w:rPr>
              <w:t>A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jc w:val="right"/>
            </w:pPr>
            <w:r w:rsidRPr="00891E30">
              <w:t>28</w:t>
            </w: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B</w:t>
            </w: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4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A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jc w:val="right"/>
            </w:pPr>
            <w:r w:rsidRPr="00891E30">
              <w:t>14</w:t>
            </w: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C</w:t>
            </w: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</w:pPr>
            <w:r w:rsidRPr="00891E30">
              <w:t>19</w:t>
            </w:r>
          </w:p>
        </w:tc>
        <w:tc>
          <w:tcPr>
            <w:tcW w:w="811" w:type="dxa"/>
          </w:tcPr>
          <w:p w:rsidR="00370C0F" w:rsidRPr="00891E30" w:rsidRDefault="00370C0F" w:rsidP="00477A3E">
            <w:r w:rsidRPr="00891E30">
              <w:rPr>
                <w:b/>
                <w:bCs/>
              </w:rPr>
              <w:t>C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jc w:val="right"/>
            </w:pPr>
            <w:r w:rsidRPr="00891E30">
              <w:t>29</w:t>
            </w: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C</w:t>
            </w: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5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C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jc w:val="right"/>
            </w:pPr>
            <w:r w:rsidRPr="00891E30">
              <w:t>15</w:t>
            </w: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D</w:t>
            </w: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</w:pPr>
            <w:r w:rsidRPr="00891E30">
              <w:t>20</w:t>
            </w:r>
          </w:p>
        </w:tc>
        <w:tc>
          <w:tcPr>
            <w:tcW w:w="811" w:type="dxa"/>
          </w:tcPr>
          <w:p w:rsidR="00370C0F" w:rsidRPr="00891E30" w:rsidRDefault="00370C0F" w:rsidP="00477A3E">
            <w:pPr>
              <w:rPr>
                <w:b/>
              </w:rPr>
            </w:pPr>
            <w:r w:rsidRPr="00891E30">
              <w:rPr>
                <w:b/>
              </w:rPr>
              <w:t>B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jc w:val="right"/>
            </w:pPr>
            <w:r w:rsidRPr="00891E30">
              <w:t>30</w:t>
            </w: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D</w:t>
            </w: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6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A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</w:pPr>
            <w:r w:rsidRPr="00891E30">
              <w:t>21</w:t>
            </w:r>
          </w:p>
        </w:tc>
        <w:tc>
          <w:tcPr>
            <w:tcW w:w="811" w:type="dxa"/>
          </w:tcPr>
          <w:p w:rsidR="00370C0F" w:rsidRPr="00891E30" w:rsidRDefault="00370C0F" w:rsidP="00477A3E">
            <w:pPr>
              <w:rPr>
                <w:b/>
              </w:rPr>
            </w:pPr>
            <w:r w:rsidRPr="00891E30">
              <w:rPr>
                <w:b/>
              </w:rPr>
              <w:t>D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jc w:val="right"/>
            </w:pP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7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  <w:rPr>
                <w:bCs/>
              </w:rPr>
            </w:pPr>
            <w:r w:rsidRPr="00891E30">
              <w:rPr>
                <w:bCs/>
              </w:rPr>
              <w:t>22</w:t>
            </w:r>
          </w:p>
        </w:tc>
        <w:tc>
          <w:tcPr>
            <w:tcW w:w="811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B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8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C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  <w:rPr>
                <w:bCs/>
              </w:rPr>
            </w:pPr>
            <w:r w:rsidRPr="00891E30">
              <w:rPr>
                <w:bCs/>
              </w:rPr>
              <w:t>23</w:t>
            </w:r>
          </w:p>
        </w:tc>
        <w:tc>
          <w:tcPr>
            <w:tcW w:w="811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C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9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  <w:rPr>
                <w:bCs/>
              </w:rPr>
            </w:pPr>
            <w:r w:rsidRPr="00891E30">
              <w:rPr>
                <w:bCs/>
              </w:rPr>
              <w:t>24</w:t>
            </w:r>
          </w:p>
        </w:tc>
        <w:tc>
          <w:tcPr>
            <w:tcW w:w="811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D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</w:tr>
      <w:tr w:rsidR="00370C0F" w:rsidRPr="00891E30" w:rsidTr="00477A3E">
        <w:trPr>
          <w:cantSplit/>
          <w:trHeight w:val="236"/>
        </w:trPr>
        <w:tc>
          <w:tcPr>
            <w:tcW w:w="909" w:type="dxa"/>
          </w:tcPr>
          <w:p w:rsidR="00370C0F" w:rsidRPr="00891E30" w:rsidRDefault="00370C0F" w:rsidP="00477A3E">
            <w:pPr>
              <w:jc w:val="right"/>
            </w:pPr>
            <w:r w:rsidRPr="00891E30">
              <w:t>10</w:t>
            </w:r>
          </w:p>
        </w:tc>
        <w:tc>
          <w:tcPr>
            <w:tcW w:w="888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63" w:type="dxa"/>
          </w:tcPr>
          <w:p w:rsidR="00370C0F" w:rsidRPr="00891E30" w:rsidRDefault="00370C0F" w:rsidP="00477A3E">
            <w:pPr>
              <w:jc w:val="right"/>
              <w:rPr>
                <w:bCs/>
              </w:rPr>
            </w:pPr>
            <w:r w:rsidRPr="00891E30">
              <w:rPr>
                <w:bCs/>
              </w:rPr>
              <w:t>25</w:t>
            </w:r>
          </w:p>
        </w:tc>
        <w:tc>
          <w:tcPr>
            <w:tcW w:w="811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  <w:r w:rsidRPr="00891E30">
              <w:rPr>
                <w:b/>
                <w:bCs/>
              </w:rPr>
              <w:t>B</w:t>
            </w:r>
          </w:p>
        </w:tc>
        <w:tc>
          <w:tcPr>
            <w:tcW w:w="845" w:type="dxa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370C0F" w:rsidRPr="00891E30" w:rsidRDefault="00370C0F" w:rsidP="00477A3E">
            <w:pPr>
              <w:rPr>
                <w:b/>
                <w:bCs/>
              </w:rPr>
            </w:pPr>
          </w:p>
        </w:tc>
      </w:tr>
    </w:tbl>
    <w:p w:rsidR="00370C0F" w:rsidRPr="006C672B" w:rsidRDefault="00370C0F" w:rsidP="00F4455D"/>
    <w:p w:rsidR="00370C0F" w:rsidRPr="00DC4301" w:rsidRDefault="00370C0F" w:rsidP="00F4455D"/>
    <w:p w:rsidR="00370C0F" w:rsidRDefault="00370C0F" w:rsidP="00F4455D"/>
    <w:p w:rsidR="00370C0F" w:rsidRDefault="00370C0F"/>
    <w:sectPr w:rsidR="00370C0F" w:rsidSect="00CC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5D"/>
    <w:rsid w:val="0005309C"/>
    <w:rsid w:val="002E7E48"/>
    <w:rsid w:val="00370C0F"/>
    <w:rsid w:val="00477A3E"/>
    <w:rsid w:val="004A636B"/>
    <w:rsid w:val="006743D1"/>
    <w:rsid w:val="006C672B"/>
    <w:rsid w:val="007B43C9"/>
    <w:rsid w:val="00891E30"/>
    <w:rsid w:val="00905004"/>
    <w:rsid w:val="00A94987"/>
    <w:rsid w:val="00CC549D"/>
    <w:rsid w:val="00DC4301"/>
    <w:rsid w:val="00F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55D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55D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F445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55D"/>
    <w:pPr>
      <w:keepNext/>
      <w:spacing w:after="0" w:line="240" w:lineRule="auto"/>
      <w:jc w:val="center"/>
      <w:outlineLvl w:val="2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4455D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4455D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4455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A9498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71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55D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55D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F445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55D"/>
    <w:pPr>
      <w:keepNext/>
      <w:spacing w:after="0" w:line="240" w:lineRule="auto"/>
      <w:jc w:val="center"/>
      <w:outlineLvl w:val="2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4455D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4455D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4455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A9498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7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FXB</vt:lpstr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FXB</dc:title>
  <dc:creator>POKUSNY UCET,ZAM,CIVT</dc:creator>
  <cp:lastModifiedBy>POKUSNY UCET,ZAM,CIVT</cp:lastModifiedBy>
  <cp:revision>2</cp:revision>
  <cp:lastPrinted>2018-04-18T07:32:00Z</cp:lastPrinted>
  <dcterms:created xsi:type="dcterms:W3CDTF">2018-04-18T08:03:00Z</dcterms:created>
  <dcterms:modified xsi:type="dcterms:W3CDTF">2018-04-18T08:03:00Z</dcterms:modified>
</cp:coreProperties>
</file>