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83" w:rsidRPr="007F1398" w:rsidRDefault="0072402C" w:rsidP="00857683">
      <w:pPr>
        <w:pStyle w:val="Nadpis1"/>
        <w:rPr>
          <w:rFonts w:ascii="Calibri" w:hAnsi="Calibri"/>
          <w:sz w:val="40"/>
          <w:szCs w:val="40"/>
        </w:rPr>
      </w:pPr>
      <w:permStart w:id="1947952120" w:edGrp="everyone"/>
      <w:permEnd w:id="1947952120"/>
      <w:r w:rsidRPr="007F1398">
        <w:rPr>
          <w:rFonts w:ascii="Calibri" w:hAnsi="Calibri"/>
          <w:sz w:val="40"/>
          <w:szCs w:val="40"/>
        </w:rPr>
        <w:t>Zpráva o h</w:t>
      </w:r>
      <w:r w:rsidR="00857683" w:rsidRPr="007F1398">
        <w:rPr>
          <w:rFonts w:ascii="Calibri" w:hAnsi="Calibri"/>
          <w:sz w:val="40"/>
          <w:szCs w:val="40"/>
        </w:rPr>
        <w:t>ospodaření</w:t>
      </w:r>
    </w:p>
    <w:p w:rsidR="00857683" w:rsidRPr="00BA3900" w:rsidRDefault="00BA3900" w:rsidP="00857683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HOSPODÁŘSKÝ VÝSLEDEK</w:t>
      </w:r>
    </w:p>
    <w:p w:rsidR="00BA3900" w:rsidRDefault="0037381B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 rok 201</w:t>
      </w:r>
      <w:r w:rsidR="00915302">
        <w:rPr>
          <w:rFonts w:ascii="Calibri" w:hAnsi="Calibri" w:cs="Arial"/>
          <w:sz w:val="20"/>
          <w:szCs w:val="20"/>
        </w:rPr>
        <w:t>8</w:t>
      </w:r>
      <w:r w:rsidR="00857683" w:rsidRPr="003F01E8">
        <w:rPr>
          <w:rFonts w:ascii="Calibri" w:hAnsi="Calibri" w:cs="Arial"/>
          <w:sz w:val="20"/>
          <w:szCs w:val="20"/>
        </w:rPr>
        <w:t xml:space="preserve"> vykázala Fakulta sociálních věd celkový hospodářský výsledek ve výši </w:t>
      </w:r>
      <w:r w:rsidR="00915302">
        <w:rPr>
          <w:rFonts w:ascii="Calibri" w:hAnsi="Calibri" w:cs="Arial"/>
          <w:sz w:val="20"/>
          <w:szCs w:val="20"/>
        </w:rPr>
        <w:t xml:space="preserve">5 039 048 </w:t>
      </w:r>
      <w:r w:rsidR="00857683" w:rsidRPr="003F01E8">
        <w:rPr>
          <w:rFonts w:ascii="Calibri" w:hAnsi="Calibri" w:cs="Arial"/>
          <w:sz w:val="20"/>
          <w:szCs w:val="20"/>
        </w:rPr>
        <w:t>Kč</w:t>
      </w:r>
      <w:r w:rsidR="00C311C2">
        <w:rPr>
          <w:rFonts w:ascii="Calibri" w:hAnsi="Calibri" w:cs="Arial"/>
          <w:sz w:val="20"/>
          <w:szCs w:val="20"/>
        </w:rPr>
        <w:t xml:space="preserve">. </w:t>
      </w:r>
    </w:p>
    <w:p w:rsidR="00C311C2" w:rsidRDefault="00C311C2" w:rsidP="00857683">
      <w:pPr>
        <w:jc w:val="both"/>
        <w:rPr>
          <w:rFonts w:ascii="Calibri" w:hAnsi="Calibri" w:cs="Arial"/>
          <w:sz w:val="20"/>
          <w:szCs w:val="20"/>
        </w:rPr>
      </w:pPr>
    </w:p>
    <w:p w:rsidR="00BA3900" w:rsidRPr="00BA3900" w:rsidRDefault="007F1398" w:rsidP="00857683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PŘÍJMY</w:t>
      </w:r>
    </w:p>
    <w:p w:rsidR="0072402C" w:rsidRDefault="00267D66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Celkové p</w:t>
      </w:r>
      <w:r w:rsidR="00857683" w:rsidRPr="003F01E8">
        <w:rPr>
          <w:rFonts w:ascii="Calibri" w:hAnsi="Calibri" w:cs="Arial"/>
          <w:sz w:val="20"/>
          <w:szCs w:val="20"/>
        </w:rPr>
        <w:t xml:space="preserve">říjmy ve vykazovaném období dosáhly </w:t>
      </w:r>
      <w:r w:rsidR="00515742">
        <w:rPr>
          <w:rFonts w:ascii="Calibri" w:hAnsi="Calibri" w:cs="Arial"/>
          <w:sz w:val="20"/>
          <w:szCs w:val="20"/>
        </w:rPr>
        <w:t>466 950</w:t>
      </w:r>
      <w:r w:rsidR="00C311C2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>tis.</w:t>
      </w:r>
      <w:r w:rsidR="00C311C2">
        <w:rPr>
          <w:rFonts w:ascii="Calibri" w:hAnsi="Calibri" w:cs="Arial"/>
          <w:sz w:val="20"/>
          <w:szCs w:val="20"/>
        </w:rPr>
        <w:t xml:space="preserve"> Kč.</w:t>
      </w:r>
      <w:r>
        <w:rPr>
          <w:rFonts w:ascii="Calibri" w:hAnsi="Calibri" w:cs="Arial"/>
          <w:sz w:val="20"/>
          <w:szCs w:val="20"/>
        </w:rPr>
        <w:t xml:space="preserve">, z toho v hlavní činnosti </w:t>
      </w:r>
      <w:r w:rsidR="00515742">
        <w:rPr>
          <w:rFonts w:ascii="Calibri" w:hAnsi="Calibri" w:cs="Arial"/>
          <w:sz w:val="20"/>
          <w:szCs w:val="20"/>
        </w:rPr>
        <w:t>464 270</w:t>
      </w:r>
      <w:r>
        <w:rPr>
          <w:rFonts w:ascii="Calibri" w:hAnsi="Calibri" w:cs="Arial"/>
          <w:sz w:val="20"/>
          <w:szCs w:val="20"/>
        </w:rPr>
        <w:t xml:space="preserve"> tis. Kč.</w:t>
      </w:r>
      <w:r w:rsidR="00857683" w:rsidRPr="003F01E8">
        <w:rPr>
          <w:rFonts w:ascii="Calibri" w:hAnsi="Calibri" w:cs="Arial"/>
          <w:sz w:val="20"/>
          <w:szCs w:val="20"/>
        </w:rPr>
        <w:t xml:space="preserve"> </w:t>
      </w:r>
      <w:r w:rsidR="00A943A7">
        <w:rPr>
          <w:rFonts w:ascii="Calibri" w:hAnsi="Calibri" w:cs="Arial"/>
          <w:sz w:val="20"/>
          <w:szCs w:val="20"/>
        </w:rPr>
        <w:t xml:space="preserve">Absolutně nejvýznamnější položkou jsou příspěvky a dotace poskytnuté z veřejných prostředků, jejich podíl na celkových </w:t>
      </w:r>
      <w:r w:rsidR="00A943A7" w:rsidRPr="009501E4">
        <w:rPr>
          <w:rFonts w:ascii="Calibri" w:hAnsi="Calibri" w:cs="Arial"/>
          <w:sz w:val="20"/>
          <w:szCs w:val="20"/>
        </w:rPr>
        <w:t xml:space="preserve">příjmech činí </w:t>
      </w:r>
      <w:r w:rsidR="00C311C2" w:rsidRPr="009501E4">
        <w:rPr>
          <w:rFonts w:ascii="Calibri" w:hAnsi="Calibri" w:cs="Arial"/>
          <w:sz w:val="20"/>
          <w:szCs w:val="20"/>
        </w:rPr>
        <w:t xml:space="preserve"> </w:t>
      </w:r>
      <w:r w:rsidR="00515742">
        <w:rPr>
          <w:rFonts w:ascii="Calibri" w:hAnsi="Calibri" w:cs="Arial"/>
          <w:sz w:val="20"/>
          <w:szCs w:val="20"/>
        </w:rPr>
        <w:t>81</w:t>
      </w:r>
      <w:r w:rsidR="00C311C2" w:rsidRPr="009501E4">
        <w:rPr>
          <w:rFonts w:ascii="Calibri" w:hAnsi="Calibri" w:cs="Arial"/>
          <w:sz w:val="20"/>
          <w:szCs w:val="20"/>
        </w:rPr>
        <w:t xml:space="preserve"> </w:t>
      </w:r>
      <w:r w:rsidR="00A943A7" w:rsidRPr="009501E4">
        <w:rPr>
          <w:rFonts w:ascii="Calibri" w:hAnsi="Calibri" w:cs="Arial"/>
          <w:sz w:val="20"/>
          <w:szCs w:val="20"/>
        </w:rPr>
        <w:t>%.</w:t>
      </w:r>
      <w:r w:rsidR="00A943A7">
        <w:rPr>
          <w:rFonts w:ascii="Calibri" w:hAnsi="Calibri" w:cs="Arial"/>
          <w:sz w:val="20"/>
          <w:szCs w:val="20"/>
        </w:rPr>
        <w:t xml:space="preserve"> Vlastní příjmy fakulty jsou tvořeny zejména poplatky </w:t>
      </w:r>
      <w:r w:rsidR="009F56FB">
        <w:rPr>
          <w:rFonts w:ascii="Calibri" w:hAnsi="Calibri" w:cs="Arial"/>
          <w:sz w:val="20"/>
          <w:szCs w:val="20"/>
        </w:rPr>
        <w:t xml:space="preserve">od zahraničních studentů za výuku v cizojazyčných programech a za studijní pobyty </w:t>
      </w:r>
      <w:r w:rsidR="00A943A7">
        <w:rPr>
          <w:rFonts w:ascii="Calibri" w:hAnsi="Calibri" w:cs="Arial"/>
          <w:sz w:val="20"/>
          <w:szCs w:val="20"/>
        </w:rPr>
        <w:t xml:space="preserve">ve výši </w:t>
      </w:r>
      <w:r w:rsidR="00515742">
        <w:rPr>
          <w:rFonts w:ascii="Calibri" w:hAnsi="Calibri" w:cs="Arial"/>
          <w:sz w:val="20"/>
          <w:szCs w:val="20"/>
        </w:rPr>
        <w:t>35 742</w:t>
      </w:r>
      <w:r w:rsidR="00A943A7">
        <w:rPr>
          <w:rFonts w:ascii="Calibri" w:hAnsi="Calibri" w:cs="Arial"/>
          <w:sz w:val="20"/>
          <w:szCs w:val="20"/>
        </w:rPr>
        <w:t xml:space="preserve"> tis.</w:t>
      </w:r>
      <w:r w:rsidR="00E921AA">
        <w:rPr>
          <w:rFonts w:ascii="Calibri" w:hAnsi="Calibri" w:cs="Arial"/>
          <w:sz w:val="20"/>
          <w:szCs w:val="20"/>
        </w:rPr>
        <w:t xml:space="preserve"> Kč</w:t>
      </w:r>
      <w:r w:rsidR="00A943A7">
        <w:rPr>
          <w:rFonts w:ascii="Calibri" w:hAnsi="Calibri" w:cs="Arial"/>
          <w:sz w:val="20"/>
          <w:szCs w:val="20"/>
        </w:rPr>
        <w:t xml:space="preserve"> </w:t>
      </w:r>
      <w:r w:rsidR="009F56FB">
        <w:rPr>
          <w:rFonts w:ascii="Calibri" w:hAnsi="Calibri" w:cs="Arial"/>
          <w:sz w:val="20"/>
          <w:szCs w:val="20"/>
        </w:rPr>
        <w:t xml:space="preserve">Dalšími významnými vlastními zdroji příjmů jsou příjmy za přijímací řízení ve výši </w:t>
      </w:r>
      <w:r w:rsidR="00515742">
        <w:rPr>
          <w:rFonts w:ascii="Calibri" w:hAnsi="Calibri" w:cs="Arial"/>
          <w:sz w:val="20"/>
          <w:szCs w:val="20"/>
        </w:rPr>
        <w:t>4 019</w:t>
      </w:r>
      <w:r w:rsidR="009F56FB">
        <w:rPr>
          <w:rFonts w:ascii="Calibri" w:hAnsi="Calibri" w:cs="Arial"/>
          <w:sz w:val="20"/>
          <w:szCs w:val="20"/>
        </w:rPr>
        <w:t xml:space="preserve"> tis</w:t>
      </w:r>
      <w:r w:rsidR="00E921AA">
        <w:rPr>
          <w:rFonts w:ascii="Calibri" w:hAnsi="Calibri" w:cs="Arial"/>
          <w:sz w:val="20"/>
          <w:szCs w:val="20"/>
        </w:rPr>
        <w:t xml:space="preserve"> Kč</w:t>
      </w:r>
      <w:r w:rsidR="009F56FB">
        <w:rPr>
          <w:rFonts w:ascii="Calibri" w:hAnsi="Calibri" w:cs="Arial"/>
          <w:sz w:val="20"/>
          <w:szCs w:val="20"/>
        </w:rPr>
        <w:t>.</w:t>
      </w:r>
    </w:p>
    <w:p w:rsidR="009F56FB" w:rsidRDefault="009F56FB" w:rsidP="00857683">
      <w:pPr>
        <w:jc w:val="both"/>
        <w:rPr>
          <w:rFonts w:ascii="Calibri" w:hAnsi="Calibri" w:cs="Arial"/>
          <w:sz w:val="22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992"/>
      </w:tblGrid>
      <w:tr w:rsidR="0072402C" w:rsidRPr="0072402C" w:rsidTr="003F01E8">
        <w:trPr>
          <w:trHeight w:val="6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1E8" w:rsidRPr="0072402C" w:rsidRDefault="0072402C" w:rsidP="009440E8">
            <w:pPr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</w:pPr>
            <w:r w:rsidRPr="0072402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>Struktura příjmů fakulty</w:t>
            </w:r>
            <w:r w:rsidR="009501E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v hlavní činnosti</w:t>
            </w:r>
            <w:r w:rsidRPr="0072402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za rok 201</w:t>
            </w:r>
            <w:r w:rsidR="009440E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  <w:r w:rsidR="003F01E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F01E8" w:rsidRPr="003F01E8"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  <w:t xml:space="preserve"> Kč</w:t>
            </w:r>
            <w:r w:rsidR="003F01E8" w:rsidRPr="003F01E8"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72402C" w:rsidRPr="0072402C" w:rsidTr="003875A3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Dotace + příspěvek (rozpočtové i mimorozpočtové)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EA5352" w:rsidP="00EA5352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334 724</w:t>
            </w:r>
          </w:p>
        </w:tc>
      </w:tr>
      <w:tr w:rsidR="0072402C" w:rsidRPr="0072402C" w:rsidTr="003875A3">
        <w:trPr>
          <w:trHeight w:val="6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Poplatky (zahraniční studenti, nadstandardní doba studia, přijímací řízení)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2402C" w:rsidRPr="0072402C" w:rsidRDefault="00EA5352" w:rsidP="00EA5352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58 089</w:t>
            </w:r>
          </w:p>
        </w:tc>
      </w:tr>
      <w:tr w:rsidR="0072402C" w:rsidRPr="0072402C" w:rsidTr="003875A3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Zúčtování fondů (účelových prostředků, stipendijní a sociální)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EA5352" w:rsidP="00EA5352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23 336</w:t>
            </w:r>
          </w:p>
        </w:tc>
      </w:tr>
      <w:tr w:rsidR="0072402C" w:rsidRPr="0072402C" w:rsidTr="003875A3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2402C" w:rsidRPr="0072402C" w:rsidRDefault="00EA5352" w:rsidP="00FA545D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50 801</w:t>
            </w:r>
          </w:p>
        </w:tc>
      </w:tr>
    </w:tbl>
    <w:p w:rsidR="0072402C" w:rsidRDefault="0072402C" w:rsidP="00857683">
      <w:pPr>
        <w:jc w:val="both"/>
        <w:rPr>
          <w:rFonts w:ascii="Calibri" w:hAnsi="Calibri" w:cs="Arial"/>
          <w:sz w:val="22"/>
        </w:rPr>
      </w:pPr>
    </w:p>
    <w:p w:rsidR="0072402C" w:rsidRPr="00D23F04" w:rsidRDefault="0072402C" w:rsidP="00857683">
      <w:pPr>
        <w:jc w:val="both"/>
        <w:rPr>
          <w:rFonts w:ascii="Calibri" w:hAnsi="Calibri" w:cs="Arial"/>
          <w:sz w:val="22"/>
        </w:rPr>
      </w:pPr>
    </w:p>
    <w:p w:rsidR="00BA3900" w:rsidRPr="00BA3900" w:rsidRDefault="00BA3900" w:rsidP="00857683">
      <w:pPr>
        <w:jc w:val="both"/>
        <w:rPr>
          <w:rFonts w:ascii="Calibri" w:hAnsi="Calibri" w:cs="Arial"/>
          <w:b/>
          <w:sz w:val="20"/>
          <w:szCs w:val="20"/>
        </w:rPr>
      </w:pPr>
      <w:r w:rsidRPr="00BA3900">
        <w:rPr>
          <w:rFonts w:ascii="Calibri" w:hAnsi="Calibri" w:cs="Arial"/>
          <w:b/>
          <w:sz w:val="20"/>
          <w:szCs w:val="20"/>
        </w:rPr>
        <w:t>NÁKLADY</w:t>
      </w:r>
    </w:p>
    <w:p w:rsidR="00857683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>Celkové náklady dosáhly v roce 201</w:t>
      </w:r>
      <w:r w:rsidR="00ED5B46">
        <w:rPr>
          <w:rFonts w:ascii="Calibri" w:hAnsi="Calibri" w:cs="Arial"/>
          <w:sz w:val="20"/>
          <w:szCs w:val="20"/>
        </w:rPr>
        <w:t>8</w:t>
      </w:r>
      <w:r w:rsidRPr="003F01E8">
        <w:rPr>
          <w:rFonts w:ascii="Calibri" w:hAnsi="Calibri" w:cs="Arial"/>
          <w:sz w:val="20"/>
          <w:szCs w:val="20"/>
        </w:rPr>
        <w:t xml:space="preserve"> výše </w:t>
      </w:r>
      <w:r w:rsidR="00973FC6">
        <w:rPr>
          <w:rFonts w:ascii="Calibri" w:hAnsi="Calibri" w:cs="Arial"/>
          <w:sz w:val="20"/>
          <w:szCs w:val="20"/>
        </w:rPr>
        <w:t>461 911</w:t>
      </w:r>
      <w:r w:rsidR="00B55A05">
        <w:rPr>
          <w:rFonts w:ascii="Calibri" w:hAnsi="Calibri" w:cs="Arial"/>
          <w:sz w:val="20"/>
          <w:szCs w:val="20"/>
        </w:rPr>
        <w:t xml:space="preserve"> tis.</w:t>
      </w:r>
      <w:r w:rsidR="00C311C2">
        <w:rPr>
          <w:rFonts w:ascii="Calibri" w:hAnsi="Calibri" w:cs="Arial"/>
          <w:sz w:val="20"/>
          <w:szCs w:val="20"/>
        </w:rPr>
        <w:t xml:space="preserve"> Kč</w:t>
      </w:r>
      <w:r w:rsidR="00267D66">
        <w:rPr>
          <w:rFonts w:ascii="Calibri" w:hAnsi="Calibri" w:cs="Arial"/>
          <w:sz w:val="20"/>
          <w:szCs w:val="20"/>
        </w:rPr>
        <w:t xml:space="preserve">, z toho v hlavní činnosti </w:t>
      </w:r>
      <w:r w:rsidR="005104B9">
        <w:rPr>
          <w:rFonts w:ascii="Calibri" w:hAnsi="Calibri" w:cs="Arial"/>
          <w:sz w:val="20"/>
          <w:szCs w:val="20"/>
        </w:rPr>
        <w:t>4</w:t>
      </w:r>
      <w:r w:rsidR="00DF51DF">
        <w:rPr>
          <w:rFonts w:ascii="Calibri" w:hAnsi="Calibri" w:cs="Arial"/>
          <w:sz w:val="20"/>
          <w:szCs w:val="20"/>
        </w:rPr>
        <w:t>59 234</w:t>
      </w:r>
      <w:r w:rsidR="00267D66">
        <w:rPr>
          <w:rFonts w:ascii="Calibri" w:hAnsi="Calibri" w:cs="Arial"/>
          <w:sz w:val="20"/>
          <w:szCs w:val="20"/>
        </w:rPr>
        <w:t xml:space="preserve"> tis. Kč. </w:t>
      </w:r>
      <w:r w:rsidRPr="003F01E8">
        <w:rPr>
          <w:rFonts w:ascii="Calibri" w:hAnsi="Calibri" w:cs="Arial"/>
          <w:sz w:val="20"/>
          <w:szCs w:val="20"/>
        </w:rPr>
        <w:t xml:space="preserve"> </w:t>
      </w:r>
      <w:r w:rsidR="00267D66">
        <w:rPr>
          <w:rFonts w:ascii="Calibri" w:hAnsi="Calibri" w:cs="Arial"/>
          <w:sz w:val="20"/>
          <w:szCs w:val="20"/>
        </w:rPr>
        <w:t>M</w:t>
      </w:r>
      <w:r w:rsidRPr="003F01E8">
        <w:rPr>
          <w:rFonts w:ascii="Calibri" w:hAnsi="Calibri" w:cs="Arial"/>
          <w:sz w:val="20"/>
          <w:szCs w:val="20"/>
        </w:rPr>
        <w:t xml:space="preserve">eziročně tak </w:t>
      </w:r>
      <w:r w:rsidR="00C311C2">
        <w:rPr>
          <w:rFonts w:ascii="Calibri" w:hAnsi="Calibri" w:cs="Arial"/>
          <w:sz w:val="20"/>
          <w:szCs w:val="20"/>
        </w:rPr>
        <w:t>vzrostly</w:t>
      </w:r>
      <w:r w:rsidRPr="003F01E8">
        <w:rPr>
          <w:rFonts w:ascii="Calibri" w:hAnsi="Calibri" w:cs="Arial"/>
          <w:sz w:val="20"/>
          <w:szCs w:val="20"/>
        </w:rPr>
        <w:t xml:space="preserve"> o </w:t>
      </w:r>
      <w:r w:rsidR="00ED5B46">
        <w:rPr>
          <w:rFonts w:ascii="Calibri" w:hAnsi="Calibri" w:cs="Arial"/>
          <w:sz w:val="20"/>
          <w:szCs w:val="20"/>
        </w:rPr>
        <w:t>1</w:t>
      </w:r>
      <w:r w:rsidR="00DF51DF">
        <w:rPr>
          <w:rFonts w:ascii="Calibri" w:hAnsi="Calibri" w:cs="Arial"/>
          <w:sz w:val="20"/>
          <w:szCs w:val="20"/>
        </w:rPr>
        <w:t>9</w:t>
      </w:r>
      <w:r w:rsidRPr="003F01E8">
        <w:rPr>
          <w:rFonts w:ascii="Calibri" w:hAnsi="Calibri" w:cs="Arial"/>
          <w:sz w:val="20"/>
          <w:szCs w:val="20"/>
        </w:rPr>
        <w:t xml:space="preserve">%. Nejvýznamnější nákladovou položkou jsou již dlouhodobě osobní náklady, které ve sledovaném období činily </w:t>
      </w:r>
      <w:r w:rsidR="00267D66">
        <w:rPr>
          <w:rFonts w:ascii="Calibri" w:hAnsi="Calibri" w:cs="Arial"/>
          <w:sz w:val="20"/>
          <w:szCs w:val="20"/>
        </w:rPr>
        <w:t xml:space="preserve">v hlavní činnosti </w:t>
      </w:r>
      <w:r w:rsidR="00ED5B46">
        <w:rPr>
          <w:rFonts w:ascii="Calibri" w:hAnsi="Calibri" w:cs="Arial"/>
          <w:sz w:val="20"/>
          <w:szCs w:val="20"/>
        </w:rPr>
        <w:t>286 838</w:t>
      </w:r>
      <w:r w:rsidR="00B55A05">
        <w:rPr>
          <w:rFonts w:ascii="Calibri" w:hAnsi="Calibri" w:cs="Arial"/>
          <w:sz w:val="20"/>
          <w:szCs w:val="20"/>
        </w:rPr>
        <w:t xml:space="preserve"> </w:t>
      </w:r>
      <w:r w:rsidR="00C311C2">
        <w:rPr>
          <w:rFonts w:ascii="Calibri" w:hAnsi="Calibri" w:cs="Arial"/>
          <w:sz w:val="20"/>
          <w:szCs w:val="20"/>
        </w:rPr>
        <w:t>tis.</w:t>
      </w:r>
      <w:r w:rsidRPr="003F01E8">
        <w:rPr>
          <w:rFonts w:ascii="Calibri" w:hAnsi="Calibri" w:cs="Arial"/>
          <w:sz w:val="20"/>
          <w:szCs w:val="20"/>
        </w:rPr>
        <w:t xml:space="preserve"> Kč </w:t>
      </w:r>
      <w:r w:rsidR="008C6D75">
        <w:rPr>
          <w:rFonts w:ascii="Calibri" w:hAnsi="Calibri" w:cs="Arial"/>
          <w:sz w:val="20"/>
          <w:szCs w:val="20"/>
        </w:rPr>
        <w:t>.</w:t>
      </w:r>
      <w:r w:rsidR="00267D66">
        <w:rPr>
          <w:rFonts w:ascii="Calibri" w:hAnsi="Calibri" w:cs="Arial"/>
          <w:sz w:val="20"/>
          <w:szCs w:val="20"/>
        </w:rPr>
        <w:t> P</w:t>
      </w:r>
      <w:r w:rsidRPr="003F01E8">
        <w:rPr>
          <w:rFonts w:ascii="Calibri" w:hAnsi="Calibri" w:cs="Arial"/>
          <w:sz w:val="20"/>
          <w:szCs w:val="20"/>
        </w:rPr>
        <w:t>odíl</w:t>
      </w:r>
      <w:r w:rsidR="00267D66">
        <w:rPr>
          <w:rFonts w:ascii="Calibri" w:hAnsi="Calibri" w:cs="Arial"/>
          <w:sz w:val="20"/>
          <w:szCs w:val="20"/>
        </w:rPr>
        <w:t xml:space="preserve"> </w:t>
      </w:r>
      <w:r w:rsidR="006A15A6">
        <w:rPr>
          <w:rFonts w:ascii="Calibri" w:hAnsi="Calibri" w:cs="Arial"/>
          <w:sz w:val="20"/>
          <w:szCs w:val="20"/>
        </w:rPr>
        <w:t xml:space="preserve">osobních nákladů </w:t>
      </w:r>
      <w:r w:rsidR="00267D66">
        <w:rPr>
          <w:rFonts w:ascii="Calibri" w:hAnsi="Calibri" w:cs="Arial"/>
          <w:sz w:val="20"/>
          <w:szCs w:val="20"/>
        </w:rPr>
        <w:t xml:space="preserve">je </w:t>
      </w:r>
      <w:r w:rsidRPr="003F01E8">
        <w:rPr>
          <w:rFonts w:ascii="Calibri" w:hAnsi="Calibri" w:cs="Arial"/>
          <w:sz w:val="20"/>
          <w:szCs w:val="20"/>
        </w:rPr>
        <w:t>6</w:t>
      </w:r>
      <w:r w:rsidR="00DF51DF">
        <w:rPr>
          <w:rFonts w:ascii="Calibri" w:hAnsi="Calibri" w:cs="Arial"/>
          <w:sz w:val="20"/>
          <w:szCs w:val="20"/>
        </w:rPr>
        <w:t>2</w:t>
      </w:r>
      <w:r w:rsidRPr="003F01E8">
        <w:rPr>
          <w:rFonts w:ascii="Calibri" w:hAnsi="Calibri" w:cs="Arial"/>
          <w:sz w:val="20"/>
          <w:szCs w:val="20"/>
        </w:rPr>
        <w:t>% na celkových nákladech</w:t>
      </w:r>
      <w:r w:rsidR="00267D66">
        <w:rPr>
          <w:rFonts w:ascii="Calibri" w:hAnsi="Calibri" w:cs="Arial"/>
          <w:sz w:val="20"/>
          <w:szCs w:val="20"/>
        </w:rPr>
        <w:t xml:space="preserve"> v hlavní činnosti</w:t>
      </w:r>
      <w:r w:rsidR="00ED5B46">
        <w:rPr>
          <w:rFonts w:ascii="Calibri" w:hAnsi="Calibri" w:cs="Arial"/>
          <w:sz w:val="20"/>
          <w:szCs w:val="20"/>
        </w:rPr>
        <w:t>.</w:t>
      </w:r>
    </w:p>
    <w:p w:rsidR="003F01E8" w:rsidRDefault="003F01E8" w:rsidP="00857683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940"/>
      </w:tblGrid>
      <w:tr w:rsidR="003F01E8" w:rsidRPr="003F01E8" w:rsidTr="003F01E8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1E8" w:rsidRPr="003F01E8" w:rsidRDefault="003F01E8" w:rsidP="009440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72A6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Struk</w:t>
            </w:r>
            <w:r w:rsidR="00872A6E" w:rsidRPr="00872A6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tura nákladů v hlavní činnosti fakulty za rok 201</w:t>
            </w:r>
            <w:r w:rsidR="009440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  <w:r w:rsidRPr="003F01E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3F01E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 xml:space="preserve"> Kč</w:t>
            </w:r>
            <w:r w:rsidRPr="003F01E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Mzdy včetně sociálních nákladů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ED5B46" w:rsidP="00ED5B46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286 838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5F3C11" w:rsidP="00F86CE6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10 </w:t>
            </w:r>
            <w:r w:rsidR="00F86CE6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739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Stipendia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872A6E" w:rsidRDefault="005F3C11" w:rsidP="00F86CE6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70 </w:t>
            </w:r>
            <w:r w:rsidR="00F86CE6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649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6A15A6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Služby vč. </w:t>
            </w:r>
            <w:r w:rsidR="006A15A6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e</w:t>
            </w: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nergií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5F3C11" w:rsidP="00304493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35 </w:t>
            </w:r>
            <w:r w:rsidR="00304493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383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Opravy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973FC6" w:rsidP="00F86CE6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1 5</w:t>
            </w:r>
            <w:r w:rsidR="00F86CE6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27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Odpisy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973FC6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5 592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F86CE6" w:rsidP="00F86CE6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11 518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304493" w:rsidP="00872A6E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36 988</w:t>
            </w:r>
          </w:p>
        </w:tc>
      </w:tr>
    </w:tbl>
    <w:p w:rsidR="003F01E8" w:rsidRDefault="003F01E8" w:rsidP="00857683">
      <w:pPr>
        <w:jc w:val="both"/>
        <w:rPr>
          <w:rFonts w:ascii="Calibri" w:hAnsi="Calibri" w:cs="Arial"/>
          <w:sz w:val="20"/>
          <w:szCs w:val="20"/>
        </w:rPr>
      </w:pPr>
    </w:p>
    <w:p w:rsidR="00177E48" w:rsidRDefault="00177E48" w:rsidP="00376B4C">
      <w:pPr>
        <w:jc w:val="both"/>
        <w:rPr>
          <w:rFonts w:ascii="Calibri" w:hAnsi="Calibri" w:cs="Arial"/>
          <w:b/>
          <w:sz w:val="20"/>
          <w:szCs w:val="20"/>
        </w:rPr>
      </w:pPr>
    </w:p>
    <w:p w:rsidR="00177E48" w:rsidRPr="00891ED3" w:rsidRDefault="00177E48" w:rsidP="00376B4C">
      <w:pPr>
        <w:jc w:val="both"/>
        <w:rPr>
          <w:rFonts w:ascii="Calibri" w:hAnsi="Calibri" w:cs="Arial"/>
          <w:b/>
          <w:sz w:val="20"/>
          <w:szCs w:val="20"/>
        </w:rPr>
      </w:pPr>
      <w:r w:rsidRPr="00891ED3">
        <w:rPr>
          <w:rFonts w:ascii="Calibri" w:hAnsi="Calibri" w:cs="Arial"/>
          <w:b/>
          <w:sz w:val="20"/>
          <w:szCs w:val="20"/>
        </w:rPr>
        <w:t>PROJEKTY PODPORUJÍCÍ ROZVOJ VZDĚLÁVÁNÍ NA FSV UK A ROZVOJOVÉ PROGRAMY</w:t>
      </w:r>
    </w:p>
    <w:p w:rsidR="00511899" w:rsidRPr="00511899" w:rsidRDefault="00511899" w:rsidP="00511899">
      <w:pPr>
        <w:shd w:val="clear" w:color="auto" w:fill="FFFFFF"/>
        <w:jc w:val="both"/>
        <w:rPr>
          <w:rFonts w:ascii="Cambria" w:hAnsi="Cambria"/>
          <w:color w:val="000000"/>
          <w:sz w:val="27"/>
          <w:szCs w:val="27"/>
          <w:lang w:eastAsia="cs-CZ"/>
        </w:rPr>
      </w:pPr>
      <w:r w:rsidRPr="00511899">
        <w:rPr>
          <w:rFonts w:ascii="Calibri" w:hAnsi="Calibri"/>
          <w:color w:val="222222"/>
          <w:sz w:val="20"/>
          <w:szCs w:val="20"/>
          <w:lang w:eastAsia="cs-CZ"/>
        </w:rPr>
        <w:t>Rok 2018 završil realizaci institucionálního plánu 2016-2018, na němž se Fakulta sociálních věd podílela. Stejně jako v předchozích dvou letech byly naplňovány cíle a indikátory v rámci 7 aktivit části A institucionálního plánu, s celkovým rozpočtem 4,82 milionů korun. Projektové aktivity se i v tomto roce zaměřily na podporu internacionalizace, studentské mobility, podporu cizojazyčných programů, realizaci kurzů univerzity 3. věku, vytvoření fakultního systému podpory nadějných postdoktorandů, pořízení elektronických zdrojů a podporu digitalizace a retrokatalogizace. Všechny aktivity byly ke konci roku uzavřeny s tím, že tříleté cíle a indikátory byly napříč projektem úspěšně naplněny. Paralelně s tím bylo uskutečňováno 5 projektů inovace kurzů, členěných podle (dřívějších) studijních programů a spravovaných fakultními instituty (v celkovém objemu 1,75 milionu korun); i tyto projekty ke konci programovacího období naplnily své deklarované cíle.</w:t>
      </w:r>
    </w:p>
    <w:p w:rsidR="00511899" w:rsidRPr="00511899" w:rsidRDefault="00511899" w:rsidP="00511899">
      <w:pPr>
        <w:shd w:val="clear" w:color="auto" w:fill="FFFFFF"/>
        <w:jc w:val="both"/>
        <w:rPr>
          <w:rFonts w:ascii="Cambria" w:hAnsi="Cambria"/>
          <w:color w:val="000000"/>
          <w:sz w:val="27"/>
          <w:szCs w:val="27"/>
          <w:lang w:eastAsia="cs-CZ"/>
        </w:rPr>
      </w:pPr>
      <w:r w:rsidRPr="00511899">
        <w:rPr>
          <w:rFonts w:ascii="Calibri" w:hAnsi="Calibri"/>
          <w:color w:val="222222"/>
          <w:sz w:val="20"/>
          <w:szCs w:val="20"/>
          <w:lang w:eastAsia="cs-CZ"/>
        </w:rPr>
        <w:t> </w:t>
      </w:r>
    </w:p>
    <w:p w:rsidR="00511899" w:rsidRPr="00511899" w:rsidRDefault="00511899" w:rsidP="00511899">
      <w:pPr>
        <w:shd w:val="clear" w:color="auto" w:fill="FFFFFF"/>
        <w:jc w:val="both"/>
        <w:rPr>
          <w:rFonts w:ascii="Cambria" w:hAnsi="Cambria"/>
          <w:color w:val="000000"/>
          <w:sz w:val="27"/>
          <w:szCs w:val="27"/>
          <w:lang w:eastAsia="cs-CZ"/>
        </w:rPr>
      </w:pPr>
      <w:r w:rsidRPr="00511899">
        <w:rPr>
          <w:rFonts w:ascii="Calibri" w:hAnsi="Calibri"/>
          <w:color w:val="222222"/>
          <w:sz w:val="20"/>
          <w:szCs w:val="20"/>
          <w:lang w:eastAsia="cs-CZ"/>
        </w:rPr>
        <w:t xml:space="preserve">V rámci OP VVV pokračovala realizace jednotlivých aktivit v  celouniverzitního projektu ve výzvě 015. Za největší rozvojový impulz lze jednoznačně považovat získání všech nezbytných územních rozhodnutí a stavebních </w:t>
      </w:r>
      <w:r w:rsidRPr="00511899">
        <w:rPr>
          <w:rFonts w:ascii="Calibri" w:hAnsi="Calibri"/>
          <w:color w:val="222222"/>
          <w:sz w:val="20"/>
          <w:szCs w:val="20"/>
          <w:lang w:eastAsia="cs-CZ"/>
        </w:rPr>
        <w:lastRenderedPageBreak/>
        <w:t>povolení, na jejichž základě byl Ministerstvem školství, mládeže a tělovýchovy ve výzvě 016 schválen projekt „Modernizace a rozšíření prostorového zázemí výuky v Areálu Jinonice“ s celkovým rozpočtem ve výši 839,7 milionu Kč. Byly rovněž realizovány fakultní aktivity v celouniverzitních projektech v mobilitních výzvách 027 a 050 OP VVV. Následně se fakulta zapojila do přípravy navazujícího mobilitního projektu ve výzvě 070 (stejně jako v případě výzvy 050 je cílem projekt</w:t>
      </w:r>
      <w:r w:rsidR="008C6D75">
        <w:rPr>
          <w:rFonts w:ascii="Calibri" w:hAnsi="Calibri"/>
          <w:color w:val="222222"/>
          <w:sz w:val="20"/>
          <w:szCs w:val="20"/>
          <w:lang w:eastAsia="cs-CZ"/>
        </w:rPr>
        <w:t>u</w:t>
      </w:r>
      <w:r w:rsidRPr="00511899">
        <w:rPr>
          <w:rFonts w:ascii="Calibri" w:hAnsi="Calibri"/>
          <w:color w:val="222222"/>
          <w:sz w:val="20"/>
          <w:szCs w:val="20"/>
          <w:lang w:eastAsia="cs-CZ"/>
        </w:rPr>
        <w:t xml:space="preserve"> podpořit kvalitní, ale finančně neúspěšné žadatele o granty Marie Curie). V neposlední řadě proběhla realizace celouniverzitního projektu ve výzvě 024 (Program rozvoje studijního prostředí), jehož cílem bylo zlepšení vybavení a technického zařízení využívaného ve výuce v bakalářských a magisterských studijních programech.</w:t>
      </w:r>
    </w:p>
    <w:p w:rsidR="002F646B" w:rsidRDefault="002F646B" w:rsidP="00376B4C">
      <w:pPr>
        <w:jc w:val="both"/>
        <w:rPr>
          <w:rFonts w:ascii="Calibri" w:hAnsi="Calibri" w:cs="Arial"/>
          <w:sz w:val="20"/>
          <w:szCs w:val="20"/>
        </w:rPr>
      </w:pPr>
    </w:p>
    <w:p w:rsidR="00177E48" w:rsidRDefault="00177E48" w:rsidP="00177E48">
      <w:pPr>
        <w:jc w:val="both"/>
        <w:rPr>
          <w:rFonts w:ascii="Calibri" w:hAnsi="Calibri" w:cs="Arial"/>
          <w:b/>
          <w:sz w:val="20"/>
          <w:szCs w:val="20"/>
        </w:rPr>
      </w:pPr>
    </w:p>
    <w:p w:rsidR="00177E48" w:rsidRDefault="00177E48" w:rsidP="00177E48">
      <w:pPr>
        <w:jc w:val="both"/>
        <w:rPr>
          <w:rFonts w:ascii="Calibri" w:hAnsi="Calibri" w:cs="Arial"/>
          <w:b/>
          <w:sz w:val="20"/>
          <w:szCs w:val="20"/>
        </w:rPr>
      </w:pPr>
      <w:r w:rsidRPr="00900281">
        <w:rPr>
          <w:rFonts w:ascii="Calibri" w:hAnsi="Calibri" w:cs="Arial"/>
          <w:b/>
          <w:sz w:val="20"/>
          <w:szCs w:val="20"/>
        </w:rPr>
        <w:t>VÝZKUMNÉ A GRANTOVÉ PROJEKTY</w:t>
      </w:r>
    </w:p>
    <w:p w:rsidR="00B806EF" w:rsidRPr="00B806EF" w:rsidRDefault="00B806EF" w:rsidP="00B806EF">
      <w:pPr>
        <w:jc w:val="both"/>
        <w:rPr>
          <w:rFonts w:ascii="Calibri" w:hAnsi="Calibri"/>
          <w:sz w:val="20"/>
          <w:szCs w:val="20"/>
          <w:lang w:eastAsia="cs-CZ"/>
        </w:rPr>
      </w:pPr>
      <w:r w:rsidRPr="00B806EF">
        <w:rPr>
          <w:rFonts w:ascii="Calibri" w:hAnsi="Calibri"/>
          <w:sz w:val="20"/>
          <w:szCs w:val="20"/>
          <w:lang w:eastAsia="cs-CZ"/>
        </w:rPr>
        <w:t xml:space="preserve">Vědecké a výzkumné aktivity Fakulty sociálních věd zahrnovaly práce na nově zahájených programech Progres </w:t>
      </w:r>
      <w:r w:rsidRPr="00B806EF">
        <w:rPr>
          <w:rFonts w:ascii="Calibri" w:hAnsi="Calibri"/>
          <w:i/>
          <w:iCs/>
          <w:sz w:val="20"/>
          <w:szCs w:val="20"/>
          <w:lang w:eastAsia="cs-CZ"/>
        </w:rPr>
        <w:t>Právo v měnícím se světě</w:t>
      </w:r>
      <w:r w:rsidRPr="00B806EF">
        <w:rPr>
          <w:rFonts w:ascii="Calibri" w:hAnsi="Calibri"/>
          <w:sz w:val="20"/>
          <w:szCs w:val="20"/>
          <w:lang w:eastAsia="cs-CZ"/>
        </w:rPr>
        <w:t xml:space="preserve"> (Q04), </w:t>
      </w:r>
      <w:r w:rsidRPr="00B806EF">
        <w:rPr>
          <w:rFonts w:ascii="Calibri" w:hAnsi="Calibri"/>
          <w:i/>
          <w:iCs/>
          <w:sz w:val="20"/>
          <w:szCs w:val="20"/>
          <w:lang w:eastAsia="cs-CZ"/>
        </w:rPr>
        <w:t>Životní dráhy, životní styly a kvalita života z pohledu individuální adaptace a vztahu aktérů a institucí</w:t>
      </w:r>
      <w:r w:rsidRPr="00B806EF">
        <w:rPr>
          <w:rFonts w:ascii="Calibri" w:hAnsi="Calibri"/>
          <w:sz w:val="20"/>
          <w:szCs w:val="20"/>
          <w:lang w:eastAsia="cs-CZ"/>
        </w:rPr>
        <w:t xml:space="preserve"> (Q15), </w:t>
      </w:r>
      <w:r w:rsidRPr="00B806EF">
        <w:rPr>
          <w:rFonts w:ascii="Calibri" w:hAnsi="Calibri"/>
          <w:i/>
          <w:iCs/>
          <w:sz w:val="20"/>
          <w:szCs w:val="20"/>
          <w:lang w:eastAsia="cs-CZ"/>
        </w:rPr>
        <w:t>Společenské vědy: od víceoborovosti k mezioborovosti</w:t>
      </w:r>
      <w:r w:rsidRPr="00B806EF">
        <w:rPr>
          <w:rFonts w:ascii="Calibri" w:hAnsi="Calibri"/>
          <w:sz w:val="20"/>
          <w:szCs w:val="20"/>
          <w:lang w:eastAsia="cs-CZ"/>
        </w:rPr>
        <w:t xml:space="preserve"> (Q18), </w:t>
      </w:r>
      <w:r w:rsidRPr="00B806EF">
        <w:rPr>
          <w:rFonts w:ascii="Calibri" w:hAnsi="Calibri"/>
          <w:i/>
          <w:iCs/>
          <w:sz w:val="20"/>
          <w:szCs w:val="20"/>
          <w:lang w:eastAsia="cs-CZ"/>
        </w:rPr>
        <w:t>Společensko-vědní aspekty zkoumání lidského pohybu II</w:t>
      </w:r>
      <w:r w:rsidRPr="00B806EF">
        <w:rPr>
          <w:rFonts w:ascii="Calibri" w:hAnsi="Calibri"/>
          <w:sz w:val="20"/>
          <w:szCs w:val="20"/>
          <w:lang w:eastAsia="cs-CZ"/>
        </w:rPr>
        <w:t xml:space="preserve"> (Q19), </w:t>
      </w:r>
      <w:r w:rsidRPr="00B806EF">
        <w:rPr>
          <w:rFonts w:ascii="Calibri" w:hAnsi="Calibri"/>
          <w:i/>
          <w:iCs/>
          <w:sz w:val="20"/>
          <w:szCs w:val="20"/>
          <w:lang w:eastAsia="cs-CZ"/>
        </w:rPr>
        <w:t>Antropologická bádání v rámci přírodních, humanitních a historických věd</w:t>
      </w:r>
      <w:r w:rsidRPr="00B806EF">
        <w:rPr>
          <w:rFonts w:ascii="Calibri" w:hAnsi="Calibri"/>
          <w:sz w:val="20"/>
          <w:szCs w:val="20"/>
          <w:lang w:eastAsia="cs-CZ"/>
        </w:rPr>
        <w:t xml:space="preserve"> (Q22) a </w:t>
      </w:r>
      <w:r w:rsidRPr="00B806EF">
        <w:rPr>
          <w:rFonts w:ascii="Calibri" w:hAnsi="Calibri"/>
          <w:i/>
          <w:iCs/>
          <w:sz w:val="20"/>
          <w:szCs w:val="20"/>
          <w:lang w:eastAsia="cs-CZ"/>
        </w:rPr>
        <w:t>Ekonomie a finance</w:t>
      </w:r>
      <w:r w:rsidRPr="00B806EF">
        <w:rPr>
          <w:rFonts w:ascii="Calibri" w:hAnsi="Calibri"/>
          <w:sz w:val="20"/>
          <w:szCs w:val="20"/>
          <w:lang w:eastAsia="cs-CZ"/>
        </w:rPr>
        <w:t xml:space="preserve"> (Q24). Dotace na programy Progres ve výši 44 365 tis. Kč představuje 10% z celkového objemu příjmových finančních prostředků. V roce 2018 bylo na fakultě rovněž realizováno 6 projektů specifického vysokoškolského výzkumu (SVV). Na projekty SVV bylo poskytnuto 5 334 tis. Kč.  </w:t>
      </w:r>
    </w:p>
    <w:p w:rsidR="00B806EF" w:rsidRPr="00B806EF" w:rsidRDefault="00B806EF" w:rsidP="00B806EF">
      <w:pPr>
        <w:jc w:val="both"/>
        <w:rPr>
          <w:rFonts w:ascii="Calibri" w:hAnsi="Calibri"/>
          <w:sz w:val="20"/>
          <w:szCs w:val="20"/>
          <w:lang w:eastAsia="cs-CZ"/>
        </w:rPr>
      </w:pPr>
      <w:r w:rsidRPr="00B806EF">
        <w:rPr>
          <w:rFonts w:ascii="Calibri" w:hAnsi="Calibri"/>
          <w:sz w:val="20"/>
          <w:szCs w:val="20"/>
          <w:lang w:eastAsia="cs-CZ"/>
        </w:rPr>
        <w:t xml:space="preserve">V roce 2018 bylo na fakultě řešeno 135 grantových projektů, nově bylo zahájeno řešení 39 vědeckých projektů získaných v domácích i zahraničních grantových soutěžích. Konkrétně se jednalo o projekty Grantové agentury České republiky (GA ČR), Technologické agentury ČR (TAČR, program ÉTA), Evropské komise (program H2020), Ministerstva vnitra ČR, Ministerstva zahraničních věcí ČR, Ministerstva kultury ČR, program MŠMT INTER-COST, Aktion Österreich, U.S. Embassy a Israel Institute. V soutěžích GA ČR uspělo 7 projektů z celkového počtu 31 podaných projektů. V soutěži TAČR v programu ÉTA pak bylo z 11 podaných projektů přijato k řešení 7 projektů. V soutěži Grantové agentury Univerzity Karlovy (GA UK) získalo podporu 29 studentských projektů z celkem 73 podaných. </w:t>
      </w:r>
    </w:p>
    <w:p w:rsidR="00B806EF" w:rsidRPr="00B806EF" w:rsidRDefault="00B806EF" w:rsidP="00B806EF">
      <w:pPr>
        <w:jc w:val="both"/>
        <w:rPr>
          <w:rFonts w:ascii="Calibri" w:hAnsi="Calibri"/>
          <w:sz w:val="20"/>
          <w:szCs w:val="20"/>
          <w:lang w:eastAsia="cs-CZ"/>
        </w:rPr>
      </w:pPr>
      <w:r w:rsidRPr="00B806EF">
        <w:rPr>
          <w:rFonts w:ascii="Calibri" w:hAnsi="Calibri"/>
          <w:sz w:val="20"/>
          <w:szCs w:val="20"/>
          <w:lang w:eastAsia="cs-CZ"/>
        </w:rPr>
        <w:t xml:space="preserve">V roce 2018 bylo do státního rozpočtu vráceno 861 tis. Kč, které se nepodařilo v rámci grantových projektů dle příslušných pravidel grantových agentur vyčerpat. </w:t>
      </w:r>
    </w:p>
    <w:p w:rsidR="00B806EF" w:rsidRPr="00B806EF" w:rsidRDefault="00B806EF" w:rsidP="00B806EF">
      <w:pPr>
        <w:jc w:val="both"/>
        <w:rPr>
          <w:rFonts w:ascii="Calibri" w:hAnsi="Calibri"/>
          <w:sz w:val="20"/>
          <w:szCs w:val="20"/>
          <w:lang w:eastAsia="cs-CZ"/>
        </w:rPr>
      </w:pPr>
      <w:r w:rsidRPr="00B806EF">
        <w:rPr>
          <w:rFonts w:ascii="Calibri" w:hAnsi="Calibri"/>
          <w:sz w:val="20"/>
          <w:szCs w:val="20"/>
          <w:lang w:eastAsia="cs-CZ"/>
        </w:rPr>
        <w:t xml:space="preserve">V oblasti vědy a výzkumu spolupracujeme s dalšími fakultami UK a jinými organizacemi např. Sociologickým či Astronomickým ústavem AV ČR, Ústavem mezinárodních vztahů, VŠE v Praze, Masarykovou univerzitou, Českým rozhlasem či zahraničními institucemi University of Glasgow, </w:t>
      </w:r>
      <w:r w:rsidRPr="00B806EF">
        <w:rPr>
          <w:rFonts w:ascii="Calibri" w:hAnsi="Calibri"/>
          <w:sz w:val="20"/>
          <w:szCs w:val="20"/>
        </w:rPr>
        <w:t xml:space="preserve">University College London, </w:t>
      </w:r>
      <w:r w:rsidRPr="00B806EF">
        <w:rPr>
          <w:rFonts w:ascii="Calibri" w:hAnsi="Calibri"/>
          <w:sz w:val="20"/>
          <w:szCs w:val="20"/>
          <w:lang w:eastAsia="cs-CZ"/>
        </w:rPr>
        <w:t>Universität Regensburg,  Universtät zu Köln, Universiteit Utrecht,</w:t>
      </w:r>
      <w:r w:rsidRPr="00B806EF">
        <w:rPr>
          <w:rFonts w:ascii="Calibri" w:hAnsi="Calibri"/>
          <w:sz w:val="20"/>
          <w:szCs w:val="20"/>
        </w:rPr>
        <w:t xml:space="preserve"> Zentrum für Sociale Innovation GMBH, Katholieke Univeriteit Leuven</w:t>
      </w:r>
      <w:r w:rsidRPr="00B806EF">
        <w:rPr>
          <w:rFonts w:ascii="Calibri" w:hAnsi="Calibri"/>
          <w:sz w:val="20"/>
          <w:szCs w:val="20"/>
          <w:lang w:eastAsia="cs-CZ"/>
        </w:rPr>
        <w:t>.</w:t>
      </w:r>
    </w:p>
    <w:p w:rsidR="00B806EF" w:rsidRPr="00B806EF" w:rsidRDefault="00B806EF" w:rsidP="00B806EF">
      <w:pPr>
        <w:jc w:val="both"/>
        <w:rPr>
          <w:rFonts w:ascii="Calibri" w:eastAsiaTheme="minorHAnsi" w:hAnsi="Calibri"/>
          <w:sz w:val="20"/>
          <w:szCs w:val="20"/>
        </w:rPr>
      </w:pPr>
      <w:r w:rsidRPr="00B806EF">
        <w:rPr>
          <w:rFonts w:ascii="Calibri" w:hAnsi="Calibri"/>
          <w:sz w:val="20"/>
          <w:szCs w:val="20"/>
          <w:lang w:eastAsia="cs-CZ"/>
        </w:rPr>
        <w:t>V rámci rozpočtu fakulty pokračovala podpora vydávání 6 odborných recenzovaných časopisů: impaktovaného časopisu Czech Journal of Economics and Finance (Institut ekonomických studií), časopisů evidovaných v databázi Scopus Central European Journal of Public Policy (Centrum pro sociální a ekonomické strategie), Journal of Nationalism, Memory &amp; Language Politics a Acta Politologica (Institut politologických studií). Dále podporu získaly i časopisy Mediální studia</w:t>
      </w:r>
      <w:r w:rsidRPr="00B806EF">
        <w:rPr>
          <w:rFonts w:ascii="Calibri" w:hAnsi="Calibri"/>
          <w:i/>
          <w:iCs/>
          <w:sz w:val="20"/>
          <w:szCs w:val="20"/>
          <w:lang w:eastAsia="cs-CZ"/>
        </w:rPr>
        <w:t xml:space="preserve"> </w:t>
      </w:r>
      <w:r w:rsidRPr="00B806EF">
        <w:rPr>
          <w:rFonts w:ascii="Calibri" w:hAnsi="Calibri"/>
          <w:sz w:val="20"/>
          <w:szCs w:val="20"/>
          <w:lang w:eastAsia="cs-CZ"/>
        </w:rPr>
        <w:t>(Institut komunikačních studií a žurnalistiky) a Acta Universitatis Carolinae Studia Territorialia (Institut mezinárodních studií), které jsou zařazeny do databáze ERIH Plus.</w:t>
      </w:r>
    </w:p>
    <w:p w:rsidR="00ED32A7" w:rsidRDefault="00ED32A7" w:rsidP="00857683">
      <w:pPr>
        <w:jc w:val="both"/>
        <w:rPr>
          <w:rFonts w:ascii="Calibri" w:hAnsi="Calibri" w:cs="Arial"/>
          <w:sz w:val="20"/>
          <w:szCs w:val="20"/>
        </w:rPr>
      </w:pPr>
    </w:p>
    <w:p w:rsidR="00ED32A7" w:rsidRDefault="00ED32A7" w:rsidP="00857683">
      <w:pPr>
        <w:jc w:val="both"/>
        <w:rPr>
          <w:rFonts w:ascii="Calibri" w:hAnsi="Calibri" w:cs="Arial"/>
          <w:sz w:val="20"/>
          <w:szCs w:val="20"/>
        </w:rPr>
      </w:pPr>
    </w:p>
    <w:p w:rsidR="00BA3900" w:rsidRDefault="00BA3900" w:rsidP="00461C49">
      <w:pPr>
        <w:jc w:val="both"/>
        <w:rPr>
          <w:rFonts w:ascii="Calibri" w:hAnsi="Calibri" w:cs="Arial"/>
          <w:b/>
          <w:sz w:val="20"/>
          <w:szCs w:val="20"/>
        </w:rPr>
      </w:pPr>
      <w:r w:rsidRPr="00BA3900">
        <w:rPr>
          <w:rFonts w:ascii="Calibri" w:hAnsi="Calibri" w:cs="Arial"/>
          <w:b/>
          <w:sz w:val="20"/>
          <w:szCs w:val="20"/>
        </w:rPr>
        <w:t>INVESTIČNÍ AKCE</w:t>
      </w:r>
      <w:r w:rsidR="00862E9D">
        <w:rPr>
          <w:rFonts w:ascii="Calibri" w:hAnsi="Calibri" w:cs="Arial"/>
          <w:b/>
          <w:sz w:val="20"/>
          <w:szCs w:val="20"/>
        </w:rPr>
        <w:t>, OPRAVY</w:t>
      </w:r>
    </w:p>
    <w:p w:rsidR="00BA3900" w:rsidRDefault="00376B4C" w:rsidP="00461C4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Investice do IT zařízení </w:t>
      </w:r>
      <w:r w:rsidR="00333F16">
        <w:rPr>
          <w:rFonts w:ascii="Calibri" w:hAnsi="Calibri" w:cs="Arial"/>
          <w:sz w:val="20"/>
          <w:szCs w:val="20"/>
        </w:rPr>
        <w:t xml:space="preserve">byly většinou v rámci kofinancování projektu OP VVV 044 PRSP.  </w:t>
      </w:r>
    </w:p>
    <w:p w:rsidR="00333F16" w:rsidRDefault="00333F16" w:rsidP="00461C4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 rámci projektu OP VVV 016 Rekonstrukce a dostavba areálu Jinonic byl zakoupen pozemek a investováno do přípravných prací.</w:t>
      </w:r>
    </w:p>
    <w:p w:rsidR="009837CC" w:rsidRDefault="00333F16" w:rsidP="00461C4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Pokračovaly práce na webových stránkách. Pro potřeby vozíčkářů byly vyměněny v suterénu vstupní dveře ze dvora k výtahu. </w:t>
      </w:r>
      <w:r w:rsidR="008C6D75">
        <w:rPr>
          <w:rFonts w:ascii="Calibri" w:hAnsi="Calibri" w:cs="Arial"/>
          <w:sz w:val="20"/>
          <w:szCs w:val="20"/>
        </w:rPr>
        <w:t>B</w:t>
      </w:r>
      <w:r>
        <w:rPr>
          <w:rFonts w:ascii="Calibri" w:hAnsi="Calibri" w:cs="Arial"/>
          <w:sz w:val="20"/>
          <w:szCs w:val="20"/>
        </w:rPr>
        <w:t>yla vyměněna stará kli</w:t>
      </w:r>
      <w:r w:rsidR="008C6D75">
        <w:rPr>
          <w:rFonts w:ascii="Calibri" w:hAnsi="Calibri" w:cs="Arial"/>
          <w:sz w:val="20"/>
          <w:szCs w:val="20"/>
        </w:rPr>
        <w:t>matizační jednotka v serverovně.</w:t>
      </w:r>
    </w:p>
    <w:p w:rsidR="008C6D75" w:rsidRDefault="008C6D75" w:rsidP="00461C49">
      <w:pPr>
        <w:jc w:val="both"/>
        <w:rPr>
          <w:rFonts w:ascii="Calibri" w:hAnsi="Calibri" w:cs="Arial"/>
          <w:sz w:val="20"/>
          <w:szCs w:val="20"/>
        </w:rPr>
      </w:pPr>
    </w:p>
    <w:p w:rsidR="005248D0" w:rsidRDefault="005248D0" w:rsidP="00461C4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Opravy probíhaly ve všech budovách a byly hrazeny z provozních prostředků fakulty. Z větších akcí se jednalo o </w:t>
      </w:r>
      <w:r w:rsidR="00BB4398">
        <w:rPr>
          <w:rFonts w:ascii="Calibri" w:hAnsi="Calibri" w:cs="Arial"/>
          <w:sz w:val="20"/>
          <w:szCs w:val="20"/>
        </w:rPr>
        <w:t>výměnu boileru včetně rozvodů, uzávěrů a ventilů</w:t>
      </w:r>
      <w:r w:rsidR="00E5117B">
        <w:rPr>
          <w:rFonts w:ascii="Calibri" w:hAnsi="Calibri" w:cs="Arial"/>
          <w:sz w:val="20"/>
          <w:szCs w:val="20"/>
        </w:rPr>
        <w:t xml:space="preserve"> v Opletalově ulici</w:t>
      </w:r>
      <w:r w:rsidR="00BB4398">
        <w:rPr>
          <w:rFonts w:ascii="Calibri" w:hAnsi="Calibri" w:cs="Arial"/>
          <w:sz w:val="20"/>
          <w:szCs w:val="20"/>
        </w:rPr>
        <w:t>, oprava topného systému</w:t>
      </w:r>
      <w:r w:rsidR="00AB0D01">
        <w:rPr>
          <w:rFonts w:ascii="Calibri" w:hAnsi="Calibri" w:cs="Arial"/>
          <w:sz w:val="20"/>
          <w:szCs w:val="20"/>
        </w:rPr>
        <w:t xml:space="preserve">, </w:t>
      </w:r>
      <w:r w:rsidR="00BB4398">
        <w:rPr>
          <w:rFonts w:ascii="Calibri" w:hAnsi="Calibri" w:cs="Arial"/>
          <w:sz w:val="20"/>
          <w:szCs w:val="20"/>
        </w:rPr>
        <w:t>oprava automatické expanzní nádoby. D</w:t>
      </w:r>
      <w:r w:rsidR="00D23058">
        <w:rPr>
          <w:rFonts w:ascii="Calibri" w:hAnsi="Calibri" w:cs="Arial"/>
          <w:sz w:val="20"/>
          <w:szCs w:val="20"/>
        </w:rPr>
        <w:t>ále probíhaly</w:t>
      </w:r>
      <w:r>
        <w:rPr>
          <w:rFonts w:ascii="Calibri" w:hAnsi="Calibri" w:cs="Arial"/>
          <w:sz w:val="20"/>
          <w:szCs w:val="20"/>
        </w:rPr>
        <w:t xml:space="preserve"> elektro práce, instalatérské práce,</w:t>
      </w:r>
      <w:r w:rsidR="00D2305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podlahářské práce a výměny koberců v kancelářích,</w:t>
      </w:r>
      <w:r w:rsidR="00D2305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lakýrnické práce u oken. Probíhal servis a údržba projektorů, tiskáren a kopírek. Všechny pravidelné revize </w:t>
      </w:r>
      <w:r w:rsidR="002552FB">
        <w:rPr>
          <w:rFonts w:ascii="Calibri" w:hAnsi="Calibri" w:cs="Arial"/>
          <w:sz w:val="20"/>
          <w:szCs w:val="20"/>
        </w:rPr>
        <w:t>a kontroly</w:t>
      </w:r>
      <w:r w:rsidR="002F362F">
        <w:rPr>
          <w:rFonts w:ascii="Calibri" w:hAnsi="Calibri" w:cs="Arial"/>
          <w:sz w:val="20"/>
          <w:szCs w:val="20"/>
        </w:rPr>
        <w:t xml:space="preserve"> byly také řádně provedeny</w:t>
      </w:r>
      <w:r w:rsidR="002552FB">
        <w:rPr>
          <w:rFonts w:ascii="Calibri" w:hAnsi="Calibri" w:cs="Arial"/>
          <w:sz w:val="20"/>
          <w:szCs w:val="20"/>
        </w:rPr>
        <w:t>.</w:t>
      </w:r>
    </w:p>
    <w:p w:rsidR="00C128D5" w:rsidRDefault="00C128D5" w:rsidP="00376B4C">
      <w:pPr>
        <w:jc w:val="both"/>
        <w:rPr>
          <w:rFonts w:ascii="Calibri" w:hAnsi="Calibri" w:cs="Arial"/>
          <w:sz w:val="20"/>
          <w:szCs w:val="20"/>
        </w:rPr>
      </w:pPr>
    </w:p>
    <w:p w:rsidR="00E5117B" w:rsidRDefault="00E5117B" w:rsidP="00376B4C">
      <w:pPr>
        <w:jc w:val="both"/>
        <w:rPr>
          <w:rFonts w:ascii="Calibri" w:hAnsi="Calibri" w:cs="Arial"/>
          <w:b/>
          <w:sz w:val="20"/>
          <w:szCs w:val="20"/>
        </w:rPr>
      </w:pPr>
    </w:p>
    <w:p w:rsidR="008C6D75" w:rsidRDefault="008C6D75" w:rsidP="00376B4C">
      <w:pPr>
        <w:jc w:val="both"/>
        <w:rPr>
          <w:rFonts w:ascii="Calibri" w:hAnsi="Calibri" w:cs="Arial"/>
          <w:b/>
          <w:sz w:val="20"/>
          <w:szCs w:val="20"/>
        </w:rPr>
      </w:pPr>
    </w:p>
    <w:p w:rsidR="00C128D5" w:rsidRDefault="00C128D5" w:rsidP="00376B4C">
      <w:pPr>
        <w:jc w:val="both"/>
        <w:rPr>
          <w:rFonts w:ascii="Calibri" w:hAnsi="Calibri" w:cs="Arial"/>
          <w:b/>
          <w:sz w:val="20"/>
          <w:szCs w:val="20"/>
        </w:rPr>
      </w:pPr>
      <w:r w:rsidRPr="00440DAB">
        <w:rPr>
          <w:rFonts w:ascii="Calibri" w:hAnsi="Calibri" w:cs="Arial"/>
          <w:b/>
          <w:sz w:val="20"/>
          <w:szCs w:val="20"/>
        </w:rPr>
        <w:lastRenderedPageBreak/>
        <w:t>DOPLŇKOVÁ ČINNOST</w:t>
      </w:r>
    </w:p>
    <w:p w:rsidR="00C128D5" w:rsidRDefault="00C128D5" w:rsidP="00376B4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Hospodaření na Fakultě sociálních věd ovlivňuje také doplňková činnost (dále jen DČ). Doplňková činnost slouží na fakultě zejména k lepšímu využití prostorových kapacit a technického vybavení rozhlasové a televizní laboratoře při Institutu komunikačních studií a žurnalistiky.</w:t>
      </w:r>
    </w:p>
    <w:p w:rsidR="00C128D5" w:rsidRDefault="00C128D5" w:rsidP="00376B4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K základním kategoriím činností v DČ patří pronájem učeben a </w:t>
      </w:r>
      <w:r w:rsidR="005B5DE4">
        <w:rPr>
          <w:rFonts w:ascii="Calibri" w:hAnsi="Calibri" w:cs="Arial"/>
          <w:sz w:val="20"/>
          <w:szCs w:val="20"/>
        </w:rPr>
        <w:t>služby spojené s natáčením.</w:t>
      </w:r>
    </w:p>
    <w:p w:rsidR="001F67D8" w:rsidRDefault="001F67D8" w:rsidP="00376B4C">
      <w:pPr>
        <w:jc w:val="both"/>
        <w:rPr>
          <w:rFonts w:ascii="Calibri" w:hAnsi="Calibri" w:cs="Arial"/>
          <w:sz w:val="20"/>
          <w:szCs w:val="20"/>
        </w:rPr>
      </w:pPr>
    </w:p>
    <w:p w:rsidR="005B5DE4" w:rsidRDefault="005B5DE4" w:rsidP="00376B4C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462"/>
      </w:tblGrid>
      <w:tr w:rsidR="005B5DE4" w:rsidRPr="005B5DE4" w:rsidTr="00230C50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5B5DE4" w:rsidRPr="009440E8" w:rsidRDefault="005B5DE4" w:rsidP="009440E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440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Struktura příjmů doplňkové činnosti v roce 201</w:t>
            </w:r>
            <w:r w:rsidR="00544D99" w:rsidRPr="009440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  <w:r w:rsidRPr="009440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440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(v tis.</w:t>
            </w:r>
            <w:r w:rsidR="00230C50" w:rsidRPr="009440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Kč</w:t>
            </w:r>
            <w:r w:rsidRPr="009440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5B5DE4" w:rsidRPr="005B5DE4" w:rsidTr="00230C5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DE4" w:rsidRPr="005B5DE4" w:rsidRDefault="005B5DE4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Příjmy z pronájmů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E4" w:rsidRPr="005B5DE4" w:rsidRDefault="00544D99" w:rsidP="00544D9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190</w:t>
            </w:r>
          </w:p>
        </w:tc>
      </w:tr>
      <w:tr w:rsidR="005B5DE4" w:rsidRPr="005B5DE4" w:rsidTr="00544D9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</w:tcPr>
          <w:p w:rsidR="005B5DE4" w:rsidRPr="005B5DE4" w:rsidRDefault="00544D99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Natáčecí služby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5B5DE4" w:rsidRPr="005B5DE4" w:rsidRDefault="00582FCB" w:rsidP="005B5DE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1 379</w:t>
            </w:r>
          </w:p>
        </w:tc>
      </w:tr>
      <w:tr w:rsidR="005B5DE4" w:rsidRPr="005B5DE4" w:rsidTr="00582FCB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DE4" w:rsidRPr="005B5DE4" w:rsidRDefault="00582FCB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Ostatní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DE4" w:rsidRPr="005B5DE4" w:rsidRDefault="00582FCB" w:rsidP="00582F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1 111</w:t>
            </w:r>
          </w:p>
        </w:tc>
      </w:tr>
    </w:tbl>
    <w:p w:rsidR="005B5DE4" w:rsidRDefault="005B5DE4" w:rsidP="00376B4C">
      <w:pPr>
        <w:jc w:val="both"/>
        <w:rPr>
          <w:rFonts w:ascii="Calibri" w:hAnsi="Calibri" w:cs="Arial"/>
          <w:sz w:val="20"/>
          <w:szCs w:val="20"/>
        </w:rPr>
      </w:pPr>
    </w:p>
    <w:p w:rsidR="00900281" w:rsidRPr="003F01E8" w:rsidRDefault="00900281" w:rsidP="00376B4C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418"/>
      </w:tblGrid>
      <w:tr w:rsidR="00440DAB" w:rsidRPr="00440DAB" w:rsidTr="00230C50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440DAB" w:rsidRPr="009440E8" w:rsidRDefault="00440DAB" w:rsidP="009440E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440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Struktura nákladů v doplňkové činnosti v roce 201</w:t>
            </w:r>
            <w:r w:rsidR="009440E8" w:rsidRPr="009440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  <w:r w:rsidRPr="009440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440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(v tis.</w:t>
            </w:r>
            <w:r w:rsidR="00230C50" w:rsidRPr="009440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Kč</w:t>
            </w:r>
            <w:r w:rsidRPr="009440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B" w:rsidRPr="00440DAB" w:rsidRDefault="00440DAB" w:rsidP="00582FC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Mzdové náklady vč. </w:t>
            </w:r>
            <w:r w:rsidR="00582FC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</w:t>
            </w: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ociálního pojištění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B" w:rsidRPr="00440DAB" w:rsidRDefault="00582FCB" w:rsidP="00582F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1 296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40DAB" w:rsidRPr="00440DAB" w:rsidRDefault="00582FCB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196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Služby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B" w:rsidRPr="00440DAB" w:rsidRDefault="00582FCB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 345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Stipendia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40DAB" w:rsidRPr="00440DAB" w:rsidRDefault="00582FCB" w:rsidP="00582F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335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B" w:rsidRPr="00440DAB" w:rsidRDefault="00582FCB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505</w:t>
            </w:r>
          </w:p>
        </w:tc>
      </w:tr>
    </w:tbl>
    <w:p w:rsidR="00376B4C" w:rsidRDefault="00376B4C" w:rsidP="00BA3900">
      <w:pPr>
        <w:jc w:val="both"/>
        <w:rPr>
          <w:rFonts w:ascii="Calibri" w:hAnsi="Calibri" w:cs="Arial"/>
          <w:b/>
          <w:sz w:val="20"/>
          <w:szCs w:val="20"/>
        </w:rPr>
      </w:pPr>
    </w:p>
    <w:p w:rsidR="00BA3900" w:rsidRDefault="00BA3900" w:rsidP="00857683">
      <w:pPr>
        <w:jc w:val="both"/>
        <w:rPr>
          <w:rFonts w:ascii="Calibri" w:hAnsi="Calibri" w:cs="Arial"/>
          <w:sz w:val="20"/>
          <w:szCs w:val="20"/>
        </w:rPr>
      </w:pPr>
    </w:p>
    <w:p w:rsidR="00440DAB" w:rsidRPr="00440DAB" w:rsidRDefault="00440DAB" w:rsidP="00857683">
      <w:pPr>
        <w:jc w:val="both"/>
        <w:rPr>
          <w:rFonts w:ascii="Calibri" w:hAnsi="Calibri" w:cs="Arial"/>
          <w:b/>
          <w:sz w:val="20"/>
          <w:szCs w:val="20"/>
        </w:rPr>
      </w:pPr>
      <w:r w:rsidRPr="00440DAB">
        <w:rPr>
          <w:rFonts w:ascii="Calibri" w:hAnsi="Calibri" w:cs="Arial"/>
          <w:b/>
          <w:sz w:val="20"/>
          <w:szCs w:val="20"/>
        </w:rPr>
        <w:t>FONDY</w:t>
      </w:r>
    </w:p>
    <w:p w:rsidR="00857683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 xml:space="preserve">Úspěšné hospodaření fakulty lze zaznamenat také u fondů, které meziročně vzrostly o </w:t>
      </w:r>
      <w:r w:rsidR="00AC4375">
        <w:rPr>
          <w:rFonts w:ascii="Calibri" w:hAnsi="Calibri" w:cs="Arial"/>
          <w:sz w:val="20"/>
          <w:szCs w:val="20"/>
        </w:rPr>
        <w:t>31</w:t>
      </w:r>
      <w:r w:rsidRPr="003F01E8">
        <w:rPr>
          <w:rFonts w:ascii="Calibri" w:hAnsi="Calibri" w:cs="Arial"/>
          <w:sz w:val="20"/>
          <w:szCs w:val="20"/>
        </w:rPr>
        <w:t xml:space="preserve">% a v absolutní hodnotě dosáhly částky </w:t>
      </w:r>
      <w:r w:rsidR="00AC4375">
        <w:rPr>
          <w:rFonts w:ascii="Calibri" w:hAnsi="Calibri" w:cs="Arial"/>
          <w:sz w:val="20"/>
          <w:szCs w:val="20"/>
        </w:rPr>
        <w:t>164 403</w:t>
      </w:r>
      <w:r w:rsidRPr="003F01E8">
        <w:rPr>
          <w:rFonts w:ascii="Calibri" w:hAnsi="Calibri" w:cs="Arial"/>
          <w:sz w:val="20"/>
          <w:szCs w:val="20"/>
        </w:rPr>
        <w:t xml:space="preserve"> tis. Kč k 31.12.201</w:t>
      </w:r>
      <w:r w:rsidR="00AC4375">
        <w:rPr>
          <w:rFonts w:ascii="Calibri" w:hAnsi="Calibri" w:cs="Arial"/>
          <w:sz w:val="20"/>
          <w:szCs w:val="20"/>
        </w:rPr>
        <w:t>8</w:t>
      </w:r>
      <w:r w:rsidRPr="003F01E8">
        <w:rPr>
          <w:rFonts w:ascii="Calibri" w:hAnsi="Calibri" w:cs="Arial"/>
          <w:sz w:val="20"/>
          <w:szCs w:val="20"/>
        </w:rPr>
        <w:t xml:space="preserve">. Fond provozních prostředků se meziročně zvýšil o </w:t>
      </w:r>
      <w:r w:rsidR="00AC4375">
        <w:rPr>
          <w:rFonts w:ascii="Calibri" w:hAnsi="Calibri" w:cs="Arial"/>
          <w:sz w:val="20"/>
          <w:szCs w:val="20"/>
        </w:rPr>
        <w:t>20 867</w:t>
      </w:r>
      <w:r w:rsidRPr="003F01E8">
        <w:rPr>
          <w:rFonts w:ascii="Calibri" w:hAnsi="Calibri" w:cs="Arial"/>
          <w:sz w:val="20"/>
          <w:szCs w:val="20"/>
        </w:rPr>
        <w:t xml:space="preserve"> tis</w:t>
      </w:r>
      <w:r w:rsidR="00BA3900">
        <w:rPr>
          <w:rFonts w:ascii="Calibri" w:hAnsi="Calibri" w:cs="Arial"/>
          <w:sz w:val="20"/>
          <w:szCs w:val="20"/>
        </w:rPr>
        <w:t>. Kč</w:t>
      </w:r>
      <w:r w:rsidR="00A020F7">
        <w:rPr>
          <w:rFonts w:ascii="Calibri" w:hAnsi="Calibri" w:cs="Arial"/>
          <w:sz w:val="20"/>
          <w:szCs w:val="20"/>
        </w:rPr>
        <w:t>.</w:t>
      </w: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>Zůstatek</w:t>
      </w:r>
      <w:r w:rsidR="003E1142">
        <w:rPr>
          <w:rFonts w:ascii="Calibri" w:hAnsi="Calibri" w:cs="Arial"/>
          <w:sz w:val="20"/>
          <w:szCs w:val="20"/>
        </w:rPr>
        <w:t xml:space="preserve"> sociálního fondu k 31</w:t>
      </w:r>
      <w:r w:rsidR="00AC4375">
        <w:rPr>
          <w:rFonts w:ascii="Calibri" w:hAnsi="Calibri" w:cs="Arial"/>
          <w:sz w:val="20"/>
          <w:szCs w:val="20"/>
        </w:rPr>
        <w:t>. 12. 2018</w:t>
      </w:r>
      <w:r w:rsidRPr="003F01E8">
        <w:rPr>
          <w:rFonts w:ascii="Calibri" w:hAnsi="Calibri" w:cs="Arial"/>
          <w:sz w:val="20"/>
          <w:szCs w:val="20"/>
        </w:rPr>
        <w:t xml:space="preserve"> činí </w:t>
      </w:r>
      <w:r w:rsidR="00AC4375">
        <w:rPr>
          <w:rFonts w:ascii="Calibri" w:hAnsi="Calibri" w:cs="Arial"/>
          <w:sz w:val="20"/>
          <w:szCs w:val="20"/>
        </w:rPr>
        <w:t>6 624</w:t>
      </w:r>
      <w:r w:rsidR="00A020F7">
        <w:rPr>
          <w:rFonts w:ascii="Calibri" w:hAnsi="Calibri" w:cs="Arial"/>
          <w:sz w:val="20"/>
          <w:szCs w:val="20"/>
        </w:rPr>
        <w:t xml:space="preserve"> tis. Kč. V průběhu roku 201</w:t>
      </w:r>
      <w:r w:rsidR="00AC4375">
        <w:rPr>
          <w:rFonts w:ascii="Calibri" w:hAnsi="Calibri" w:cs="Arial"/>
          <w:sz w:val="20"/>
          <w:szCs w:val="20"/>
        </w:rPr>
        <w:t>8</w:t>
      </w:r>
      <w:r w:rsidRPr="003F01E8">
        <w:rPr>
          <w:rFonts w:ascii="Calibri" w:hAnsi="Calibri" w:cs="Arial"/>
          <w:sz w:val="20"/>
          <w:szCs w:val="20"/>
        </w:rPr>
        <w:t xml:space="preserve"> byl tento fond čerpán ve výši        </w:t>
      </w:r>
      <w:r w:rsidR="003E1142">
        <w:rPr>
          <w:rFonts w:ascii="Calibri" w:hAnsi="Calibri" w:cs="Arial"/>
          <w:sz w:val="20"/>
          <w:szCs w:val="20"/>
        </w:rPr>
        <w:t xml:space="preserve">2 </w:t>
      </w:r>
      <w:r w:rsidR="00AC4375">
        <w:rPr>
          <w:rFonts w:ascii="Calibri" w:hAnsi="Calibri" w:cs="Arial"/>
          <w:sz w:val="20"/>
          <w:szCs w:val="20"/>
        </w:rPr>
        <w:t>103</w:t>
      </w:r>
      <w:r w:rsidRPr="003F01E8">
        <w:rPr>
          <w:rFonts w:ascii="Calibri" w:hAnsi="Calibri" w:cs="Arial"/>
          <w:sz w:val="20"/>
          <w:szCs w:val="20"/>
        </w:rPr>
        <w:t xml:space="preserve"> tis. Kč, a to především na penzijní a ž</w:t>
      </w:r>
      <w:r w:rsidR="003E1142">
        <w:rPr>
          <w:rFonts w:ascii="Calibri" w:hAnsi="Calibri" w:cs="Arial"/>
          <w:sz w:val="20"/>
          <w:szCs w:val="20"/>
        </w:rPr>
        <w:t xml:space="preserve">ivotní připojištění ve výši </w:t>
      </w:r>
      <w:r w:rsidR="00AC4375">
        <w:rPr>
          <w:rFonts w:ascii="Calibri" w:hAnsi="Calibri" w:cs="Arial"/>
          <w:sz w:val="20"/>
          <w:szCs w:val="20"/>
        </w:rPr>
        <w:t>1 797</w:t>
      </w:r>
      <w:r w:rsidRPr="003F01E8">
        <w:rPr>
          <w:rFonts w:ascii="Calibri" w:hAnsi="Calibri" w:cs="Arial"/>
          <w:sz w:val="20"/>
          <w:szCs w:val="20"/>
        </w:rPr>
        <w:t xml:space="preserve"> tis. Kč, čerpání na příspěvky na úroky z úvěru na bytové účely ve výši </w:t>
      </w:r>
      <w:r w:rsidR="00AC4375">
        <w:rPr>
          <w:rFonts w:ascii="Calibri" w:hAnsi="Calibri" w:cs="Arial"/>
          <w:sz w:val="20"/>
          <w:szCs w:val="20"/>
        </w:rPr>
        <w:t>83</w:t>
      </w:r>
      <w:r w:rsidRPr="003F01E8">
        <w:rPr>
          <w:rFonts w:ascii="Calibri" w:hAnsi="Calibri" w:cs="Arial"/>
          <w:sz w:val="20"/>
          <w:szCs w:val="20"/>
        </w:rPr>
        <w:t xml:space="preserve"> tis.</w:t>
      </w:r>
      <w:r w:rsidR="003E1142">
        <w:rPr>
          <w:rFonts w:ascii="Calibri" w:hAnsi="Calibri" w:cs="Arial"/>
          <w:sz w:val="20"/>
          <w:szCs w:val="20"/>
        </w:rPr>
        <w:t xml:space="preserve"> Kč</w:t>
      </w:r>
      <w:r w:rsidRPr="003F01E8">
        <w:rPr>
          <w:rFonts w:ascii="Calibri" w:hAnsi="Calibri" w:cs="Arial"/>
          <w:sz w:val="20"/>
          <w:szCs w:val="20"/>
        </w:rPr>
        <w:t xml:space="preserve">, na příspěvek na další vzdělávání pracovníků </w:t>
      </w:r>
      <w:r w:rsidR="00AC4375">
        <w:rPr>
          <w:rFonts w:ascii="Calibri" w:hAnsi="Calibri" w:cs="Arial"/>
          <w:sz w:val="20"/>
          <w:szCs w:val="20"/>
        </w:rPr>
        <w:t>37</w:t>
      </w:r>
      <w:r w:rsidRPr="003F01E8">
        <w:rPr>
          <w:rFonts w:ascii="Calibri" w:hAnsi="Calibri" w:cs="Arial"/>
          <w:sz w:val="20"/>
          <w:szCs w:val="20"/>
        </w:rPr>
        <w:t xml:space="preserve"> tis. Kč</w:t>
      </w:r>
      <w:r w:rsidR="00A020F7">
        <w:rPr>
          <w:rFonts w:ascii="Calibri" w:hAnsi="Calibri" w:cs="Arial"/>
          <w:sz w:val="20"/>
          <w:szCs w:val="20"/>
        </w:rPr>
        <w:t>, n</w:t>
      </w:r>
      <w:r w:rsidRPr="003F01E8">
        <w:rPr>
          <w:rFonts w:ascii="Calibri" w:hAnsi="Calibri" w:cs="Arial"/>
          <w:sz w:val="20"/>
          <w:szCs w:val="20"/>
        </w:rPr>
        <w:t xml:space="preserve">a zdravotní péči bylo čerpáno </w:t>
      </w:r>
      <w:r w:rsidR="00AC4375">
        <w:rPr>
          <w:rFonts w:ascii="Calibri" w:hAnsi="Calibri" w:cs="Arial"/>
          <w:sz w:val="20"/>
          <w:szCs w:val="20"/>
        </w:rPr>
        <w:t>43</w:t>
      </w:r>
      <w:r w:rsidRPr="003F01E8">
        <w:rPr>
          <w:rFonts w:ascii="Calibri" w:hAnsi="Calibri" w:cs="Arial"/>
          <w:sz w:val="20"/>
          <w:szCs w:val="20"/>
        </w:rPr>
        <w:t xml:space="preserve"> tis. Kč</w:t>
      </w:r>
      <w:r w:rsidR="00AC4375">
        <w:rPr>
          <w:rFonts w:ascii="Calibri" w:hAnsi="Calibri" w:cs="Arial"/>
          <w:sz w:val="20"/>
          <w:szCs w:val="20"/>
        </w:rPr>
        <w:t>, nenávratná finanční výpomoc</w:t>
      </w:r>
      <w:r w:rsidR="00AF38AF">
        <w:rPr>
          <w:rFonts w:ascii="Calibri" w:hAnsi="Calibri" w:cs="Arial"/>
          <w:sz w:val="20"/>
          <w:szCs w:val="20"/>
        </w:rPr>
        <w:t xml:space="preserve"> ve výši 60 tis. Kč</w:t>
      </w:r>
      <w:r w:rsidRPr="003F01E8">
        <w:rPr>
          <w:rFonts w:ascii="Calibri" w:hAnsi="Calibri" w:cs="Arial"/>
          <w:sz w:val="20"/>
          <w:szCs w:val="20"/>
        </w:rPr>
        <w:t xml:space="preserve"> a na předškolní vzdělávání </w:t>
      </w:r>
      <w:r w:rsidR="00AC4375">
        <w:rPr>
          <w:rFonts w:ascii="Calibri" w:hAnsi="Calibri" w:cs="Arial"/>
          <w:sz w:val="20"/>
          <w:szCs w:val="20"/>
        </w:rPr>
        <w:t>83</w:t>
      </w:r>
      <w:r w:rsidRPr="003F01E8">
        <w:rPr>
          <w:rFonts w:ascii="Calibri" w:hAnsi="Calibri" w:cs="Arial"/>
          <w:sz w:val="20"/>
          <w:szCs w:val="20"/>
        </w:rPr>
        <w:t xml:space="preserve"> tis. Kč.</w:t>
      </w:r>
    </w:p>
    <w:p w:rsidR="00383AE1" w:rsidRDefault="00440DAB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Ve</w:t>
      </w:r>
      <w:r w:rsidR="00857683" w:rsidRPr="003F01E8">
        <w:rPr>
          <w:rFonts w:ascii="Calibri" w:hAnsi="Calibri" w:cs="Arial"/>
          <w:sz w:val="20"/>
          <w:szCs w:val="20"/>
        </w:rPr>
        <w:t xml:space="preserve"> stipendijním </w:t>
      </w:r>
      <w:r w:rsidR="003165D7">
        <w:rPr>
          <w:rFonts w:ascii="Calibri" w:hAnsi="Calibri" w:cs="Arial"/>
          <w:sz w:val="20"/>
          <w:szCs w:val="20"/>
        </w:rPr>
        <w:t>fondu je zůstatek k 31. 12. 201</w:t>
      </w:r>
      <w:r w:rsidR="006919F5">
        <w:rPr>
          <w:rFonts w:ascii="Calibri" w:hAnsi="Calibri" w:cs="Arial"/>
          <w:sz w:val="20"/>
          <w:szCs w:val="20"/>
        </w:rPr>
        <w:t>8</w:t>
      </w:r>
      <w:r w:rsidR="00857683" w:rsidRPr="003F01E8">
        <w:rPr>
          <w:rFonts w:ascii="Calibri" w:hAnsi="Calibri" w:cs="Arial"/>
          <w:sz w:val="20"/>
          <w:szCs w:val="20"/>
        </w:rPr>
        <w:t xml:space="preserve"> ve výši </w:t>
      </w:r>
      <w:r w:rsidR="006919F5">
        <w:rPr>
          <w:rFonts w:ascii="Calibri" w:hAnsi="Calibri" w:cs="Arial"/>
          <w:sz w:val="20"/>
          <w:szCs w:val="20"/>
        </w:rPr>
        <w:t>11 653</w:t>
      </w:r>
      <w:r w:rsidR="00857683" w:rsidRPr="003F01E8">
        <w:rPr>
          <w:rFonts w:ascii="Calibri" w:hAnsi="Calibri" w:cs="Arial"/>
          <w:sz w:val="20"/>
          <w:szCs w:val="20"/>
        </w:rPr>
        <w:t xml:space="preserve"> tis. Kč. Z tohoto fondu bylo čerpáno celkem </w:t>
      </w:r>
    </w:p>
    <w:p w:rsidR="00857683" w:rsidRDefault="006919F5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9 928</w:t>
      </w:r>
      <w:r w:rsidR="00857683" w:rsidRPr="003F01E8">
        <w:rPr>
          <w:rFonts w:ascii="Calibri" w:hAnsi="Calibri" w:cs="Arial"/>
          <w:sz w:val="20"/>
          <w:szCs w:val="20"/>
        </w:rPr>
        <w:t xml:space="preserve"> tis. Kč. </w:t>
      </w:r>
      <w:r w:rsidR="00440DAB">
        <w:rPr>
          <w:rFonts w:ascii="Calibri" w:hAnsi="Calibri" w:cs="Arial"/>
          <w:sz w:val="20"/>
          <w:szCs w:val="20"/>
        </w:rPr>
        <w:t xml:space="preserve">Stipendijní fond byl čerpán </w:t>
      </w:r>
      <w:r w:rsidR="00631DD6">
        <w:rPr>
          <w:rFonts w:ascii="Calibri" w:hAnsi="Calibri" w:cs="Arial"/>
          <w:sz w:val="20"/>
          <w:szCs w:val="20"/>
        </w:rPr>
        <w:t xml:space="preserve">na podporu </w:t>
      </w:r>
      <w:r w:rsidR="003165D7">
        <w:rPr>
          <w:rFonts w:ascii="Calibri" w:hAnsi="Calibri" w:cs="Arial"/>
          <w:sz w:val="20"/>
          <w:szCs w:val="20"/>
        </w:rPr>
        <w:t>studia v zahraničí</w:t>
      </w:r>
      <w:r w:rsidR="00631DD6">
        <w:rPr>
          <w:rFonts w:ascii="Calibri" w:hAnsi="Calibri" w:cs="Arial"/>
          <w:sz w:val="20"/>
          <w:szCs w:val="20"/>
        </w:rPr>
        <w:t xml:space="preserve"> ve výši </w:t>
      </w:r>
      <w:r>
        <w:rPr>
          <w:rFonts w:ascii="Calibri" w:hAnsi="Calibri" w:cs="Arial"/>
          <w:sz w:val="20"/>
          <w:szCs w:val="20"/>
        </w:rPr>
        <w:t>626</w:t>
      </w:r>
      <w:r w:rsidR="00166F7E">
        <w:rPr>
          <w:rFonts w:ascii="Calibri" w:hAnsi="Calibri" w:cs="Arial"/>
          <w:sz w:val="20"/>
          <w:szCs w:val="20"/>
        </w:rPr>
        <w:t xml:space="preserve"> </w:t>
      </w:r>
      <w:r w:rsidR="00631DD6">
        <w:rPr>
          <w:rFonts w:ascii="Calibri" w:hAnsi="Calibri" w:cs="Arial"/>
          <w:sz w:val="20"/>
          <w:szCs w:val="20"/>
        </w:rPr>
        <w:t>tis</w:t>
      </w:r>
      <w:r w:rsidR="003165D7">
        <w:rPr>
          <w:rFonts w:ascii="Calibri" w:hAnsi="Calibri" w:cs="Arial"/>
          <w:sz w:val="20"/>
          <w:szCs w:val="20"/>
        </w:rPr>
        <w:t xml:space="preserve"> Kč</w:t>
      </w:r>
      <w:r w:rsidR="000D3275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t>studentům doktorských studijních programů 1 369</w:t>
      </w:r>
      <w:r w:rsidR="00631DD6">
        <w:rPr>
          <w:rFonts w:ascii="Calibri" w:hAnsi="Calibri" w:cs="Arial"/>
          <w:sz w:val="20"/>
          <w:szCs w:val="20"/>
        </w:rPr>
        <w:t xml:space="preserve"> tis</w:t>
      </w:r>
      <w:r w:rsidR="00803A0B">
        <w:rPr>
          <w:rFonts w:ascii="Calibri" w:hAnsi="Calibri" w:cs="Arial"/>
          <w:sz w:val="20"/>
          <w:szCs w:val="20"/>
        </w:rPr>
        <w:t xml:space="preserve"> Kč</w:t>
      </w:r>
      <w:r w:rsidR="00631DD6">
        <w:rPr>
          <w:rFonts w:ascii="Calibri" w:hAnsi="Calibri" w:cs="Arial"/>
          <w:sz w:val="20"/>
          <w:szCs w:val="20"/>
        </w:rPr>
        <w:t xml:space="preserve">., </w:t>
      </w:r>
      <w:r w:rsidR="00803A0B">
        <w:rPr>
          <w:rFonts w:ascii="Calibri" w:hAnsi="Calibri" w:cs="Arial"/>
          <w:sz w:val="20"/>
          <w:szCs w:val="20"/>
        </w:rPr>
        <w:t xml:space="preserve">za vynikající </w:t>
      </w:r>
      <w:r>
        <w:rPr>
          <w:rFonts w:ascii="Calibri" w:hAnsi="Calibri" w:cs="Arial"/>
          <w:sz w:val="20"/>
          <w:szCs w:val="20"/>
        </w:rPr>
        <w:t xml:space="preserve">vědecké, výzkumné, vývojové a další </w:t>
      </w:r>
      <w:r w:rsidR="00803A0B">
        <w:rPr>
          <w:rFonts w:ascii="Calibri" w:hAnsi="Calibri" w:cs="Arial"/>
          <w:sz w:val="20"/>
          <w:szCs w:val="20"/>
        </w:rPr>
        <w:t xml:space="preserve">tvůrčí výsledky </w:t>
      </w:r>
      <w:r>
        <w:rPr>
          <w:rFonts w:ascii="Calibri" w:hAnsi="Calibri" w:cs="Arial"/>
          <w:sz w:val="20"/>
          <w:szCs w:val="20"/>
        </w:rPr>
        <w:t>563</w:t>
      </w:r>
      <w:r w:rsidR="00803A0B">
        <w:rPr>
          <w:rFonts w:ascii="Calibri" w:hAnsi="Calibri" w:cs="Arial"/>
          <w:sz w:val="20"/>
          <w:szCs w:val="20"/>
        </w:rPr>
        <w:t xml:space="preserve"> tis. Kč, </w:t>
      </w:r>
      <w:r w:rsidR="00383AE1">
        <w:rPr>
          <w:rFonts w:ascii="Calibri" w:hAnsi="Calibri" w:cs="Arial"/>
          <w:sz w:val="20"/>
          <w:szCs w:val="20"/>
        </w:rPr>
        <w:t xml:space="preserve">za vynikající studijní výsledky </w:t>
      </w:r>
      <w:r>
        <w:rPr>
          <w:rFonts w:ascii="Calibri" w:hAnsi="Calibri" w:cs="Arial"/>
          <w:sz w:val="20"/>
          <w:szCs w:val="20"/>
        </w:rPr>
        <w:t>5 989</w:t>
      </w:r>
      <w:r w:rsidR="00383AE1">
        <w:rPr>
          <w:rFonts w:ascii="Calibri" w:hAnsi="Calibri" w:cs="Arial"/>
          <w:sz w:val="20"/>
          <w:szCs w:val="20"/>
        </w:rPr>
        <w:t xml:space="preserve"> tis. Kč, </w:t>
      </w:r>
      <w:r w:rsidR="00803A0B">
        <w:rPr>
          <w:rFonts w:ascii="Calibri" w:hAnsi="Calibri" w:cs="Arial"/>
          <w:sz w:val="20"/>
          <w:szCs w:val="20"/>
        </w:rPr>
        <w:t xml:space="preserve">na případy zvláštního zřetele hodných ve výši </w:t>
      </w:r>
      <w:r>
        <w:rPr>
          <w:rFonts w:ascii="Calibri" w:hAnsi="Calibri" w:cs="Arial"/>
          <w:sz w:val="20"/>
          <w:szCs w:val="20"/>
        </w:rPr>
        <w:t>1 329</w:t>
      </w:r>
      <w:r w:rsidR="00803A0B">
        <w:rPr>
          <w:rFonts w:ascii="Calibri" w:hAnsi="Calibri" w:cs="Arial"/>
          <w:sz w:val="20"/>
          <w:szCs w:val="20"/>
        </w:rPr>
        <w:t xml:space="preserve"> tis. Kč</w:t>
      </w:r>
      <w:r w:rsidR="00383AE1">
        <w:rPr>
          <w:rFonts w:ascii="Calibri" w:hAnsi="Calibri" w:cs="Arial"/>
          <w:sz w:val="20"/>
          <w:szCs w:val="20"/>
        </w:rPr>
        <w:t xml:space="preserve">, na VVI činnost </w:t>
      </w:r>
      <w:r>
        <w:rPr>
          <w:rFonts w:ascii="Calibri" w:hAnsi="Calibri" w:cs="Arial"/>
          <w:sz w:val="20"/>
          <w:szCs w:val="20"/>
        </w:rPr>
        <w:t>52</w:t>
      </w:r>
      <w:r w:rsidR="00383AE1">
        <w:rPr>
          <w:rFonts w:ascii="Calibri" w:hAnsi="Calibri" w:cs="Arial"/>
          <w:sz w:val="20"/>
          <w:szCs w:val="20"/>
        </w:rPr>
        <w:t xml:space="preserve"> tis. Kč.</w:t>
      </w:r>
      <w:r w:rsidR="008C6D75">
        <w:rPr>
          <w:rFonts w:ascii="Calibri" w:hAnsi="Calibri" w:cs="Arial"/>
          <w:sz w:val="20"/>
          <w:szCs w:val="20"/>
        </w:rPr>
        <w:t xml:space="preserve"> Celkem bylo podpořeno 1607 studentů</w:t>
      </w:r>
      <w:bookmarkStart w:id="0" w:name="_GoBack"/>
      <w:bookmarkEnd w:id="0"/>
      <w:r w:rsidR="008C6D75">
        <w:rPr>
          <w:rFonts w:ascii="Calibri" w:hAnsi="Calibri" w:cs="Arial"/>
          <w:sz w:val="20"/>
          <w:szCs w:val="20"/>
        </w:rPr>
        <w:t>.</w:t>
      </w:r>
    </w:p>
    <w:p w:rsidR="003761F4" w:rsidRDefault="003761F4" w:rsidP="00857683">
      <w:pPr>
        <w:jc w:val="both"/>
        <w:rPr>
          <w:rFonts w:ascii="Calibri" w:hAnsi="Calibri" w:cs="Arial"/>
          <w:sz w:val="20"/>
          <w:szCs w:val="20"/>
        </w:rPr>
      </w:pPr>
    </w:p>
    <w:p w:rsidR="003761F4" w:rsidRPr="00C246A7" w:rsidRDefault="001C69E8" w:rsidP="00857683">
      <w:pPr>
        <w:jc w:val="both"/>
        <w:rPr>
          <w:rFonts w:ascii="Calibri" w:hAnsi="Calibri" w:cs="Arial"/>
          <w:b/>
          <w:sz w:val="18"/>
          <w:szCs w:val="20"/>
        </w:rPr>
      </w:pPr>
      <w:r w:rsidRPr="001C69E8">
        <w:rPr>
          <w:rFonts w:ascii="Calibri" w:hAnsi="Calibri" w:cs="Arial"/>
          <w:b/>
          <w:sz w:val="20"/>
          <w:szCs w:val="20"/>
        </w:rPr>
        <w:t>STA</w:t>
      </w:r>
      <w:r w:rsidR="003761F4" w:rsidRPr="001C69E8">
        <w:rPr>
          <w:rFonts w:ascii="Calibri" w:hAnsi="Calibri" w:cs="Arial"/>
          <w:b/>
          <w:sz w:val="20"/>
          <w:szCs w:val="20"/>
        </w:rPr>
        <w:t>V POHYBU MAJETKU A ZÁVAZK</w:t>
      </w:r>
      <w:r w:rsidR="00C246A7">
        <w:rPr>
          <w:rFonts w:ascii="Calibri" w:hAnsi="Calibri" w:cs="Arial"/>
          <w:b/>
          <w:sz w:val="18"/>
          <w:szCs w:val="20"/>
        </w:rPr>
        <w:t>Ů</w:t>
      </w:r>
    </w:p>
    <w:p w:rsidR="001649B9" w:rsidRDefault="001649B9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Fakulta má svěřeny ve správě budovy Hollar na Smetanově nábřeží</w:t>
      </w:r>
      <w:r w:rsidR="00080B63">
        <w:rPr>
          <w:rFonts w:ascii="Calibri" w:hAnsi="Calibri" w:cs="Arial"/>
          <w:sz w:val="20"/>
          <w:szCs w:val="20"/>
        </w:rPr>
        <w:t xml:space="preserve"> 6</w:t>
      </w:r>
      <w:r>
        <w:rPr>
          <w:rFonts w:ascii="Calibri" w:hAnsi="Calibri" w:cs="Arial"/>
          <w:sz w:val="20"/>
          <w:szCs w:val="20"/>
        </w:rPr>
        <w:t xml:space="preserve"> a budovu v Opletalově ulici č. 26. Další prostory, které fakulta využívá, jsou ve správě Univerzity Karlovy a fakulta platí náklady spojené s provozem budov.</w:t>
      </w: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</w:p>
    <w:p w:rsidR="00857683" w:rsidRDefault="00D10447" w:rsidP="00857683">
      <w:pPr>
        <w:pStyle w:val="Nadpis3"/>
        <w:spacing w:befor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VNITŘNÍ KONTROLNÍ SYSTÉM</w:t>
      </w:r>
    </w:p>
    <w:p w:rsidR="008F0D59" w:rsidRDefault="00D10447" w:rsidP="00991141">
      <w:pPr>
        <w:jc w:val="both"/>
        <w:rPr>
          <w:rFonts w:ascii="Calibri" w:hAnsi="Calibri" w:cs="Arial"/>
          <w:sz w:val="20"/>
          <w:szCs w:val="20"/>
        </w:rPr>
      </w:pPr>
      <w:r w:rsidRPr="00D10447">
        <w:rPr>
          <w:rFonts w:ascii="Calibri" w:hAnsi="Calibri" w:cs="Arial"/>
          <w:sz w:val="20"/>
          <w:szCs w:val="20"/>
        </w:rPr>
        <w:t xml:space="preserve">Na </w:t>
      </w:r>
      <w:r>
        <w:rPr>
          <w:rFonts w:ascii="Calibri" w:hAnsi="Calibri" w:cs="Arial"/>
          <w:sz w:val="20"/>
          <w:szCs w:val="20"/>
        </w:rPr>
        <w:t>Fakultě sociálních věd je</w:t>
      </w:r>
      <w:r w:rsidRPr="00D10447">
        <w:rPr>
          <w:rFonts w:ascii="Calibri" w:hAnsi="Calibri" w:cs="Arial"/>
          <w:sz w:val="20"/>
          <w:szCs w:val="20"/>
        </w:rPr>
        <w:t xml:space="preserve"> zaveden vnitřní kontrolní systém</w:t>
      </w:r>
      <w:r w:rsidR="0097588F">
        <w:rPr>
          <w:rFonts w:ascii="Calibri" w:hAnsi="Calibri" w:cs="Arial"/>
          <w:sz w:val="20"/>
          <w:szCs w:val="20"/>
        </w:rPr>
        <w:t xml:space="preserve"> p</w:t>
      </w:r>
      <w:r w:rsidR="0097588F" w:rsidRPr="0097588F">
        <w:rPr>
          <w:rFonts w:ascii="Calibri" w:hAnsi="Calibri" w:cs="Arial"/>
          <w:sz w:val="20"/>
          <w:szCs w:val="20"/>
        </w:rPr>
        <w:t>okynem děkana č. 3/2005</w:t>
      </w:r>
      <w:r w:rsidR="00AB59D9">
        <w:rPr>
          <w:rFonts w:ascii="Calibri" w:hAnsi="Calibri" w:cs="Arial"/>
          <w:sz w:val="20"/>
          <w:szCs w:val="20"/>
        </w:rPr>
        <w:t xml:space="preserve"> </w:t>
      </w:r>
      <w:r w:rsidR="0097588F" w:rsidRPr="0097588F">
        <w:rPr>
          <w:rFonts w:ascii="Calibri" w:hAnsi="Calibri" w:cs="Arial"/>
          <w:sz w:val="20"/>
          <w:szCs w:val="20"/>
        </w:rPr>
        <w:t>Interní audit a finanční kontrola</w:t>
      </w:r>
      <w:r w:rsidR="00AB59D9">
        <w:rPr>
          <w:rFonts w:ascii="Calibri" w:hAnsi="Calibri" w:cs="Arial"/>
          <w:sz w:val="20"/>
          <w:szCs w:val="20"/>
        </w:rPr>
        <w:t>.</w:t>
      </w:r>
      <w:r w:rsidR="0097588F" w:rsidRPr="0097588F">
        <w:rPr>
          <w:rFonts w:ascii="Calibri" w:hAnsi="Calibri" w:cs="Arial"/>
          <w:sz w:val="20"/>
          <w:szCs w:val="20"/>
        </w:rPr>
        <w:t xml:space="preserve"> </w:t>
      </w:r>
      <w:r w:rsidR="00AB59D9">
        <w:rPr>
          <w:rFonts w:ascii="Calibri" w:hAnsi="Calibri" w:cs="Arial"/>
          <w:sz w:val="20"/>
          <w:szCs w:val="20"/>
        </w:rPr>
        <w:t>S</w:t>
      </w:r>
      <w:r w:rsidR="0097588F" w:rsidRPr="0097588F">
        <w:rPr>
          <w:rFonts w:ascii="Calibri" w:hAnsi="Calibri" w:cs="Arial"/>
          <w:sz w:val="20"/>
          <w:szCs w:val="20"/>
        </w:rPr>
        <w:t>chvalovací a kontrolní postupy upravuje Pokyn děkana č. 1/2001</w:t>
      </w:r>
      <w:r w:rsidR="0097588F">
        <w:rPr>
          <w:rFonts w:ascii="Calibri" w:hAnsi="Calibri" w:cs="Arial"/>
          <w:sz w:val="20"/>
          <w:szCs w:val="20"/>
        </w:rPr>
        <w:t xml:space="preserve"> </w:t>
      </w:r>
      <w:r w:rsidR="0097588F" w:rsidRPr="0097588F">
        <w:rPr>
          <w:rFonts w:ascii="Calibri" w:hAnsi="Calibri" w:cs="Arial"/>
          <w:sz w:val="20"/>
          <w:szCs w:val="20"/>
        </w:rPr>
        <w:t>Oprávnění vybraných pracovníků fakulty k nakládání se svěřenými finančními prostředky FSV UK</w:t>
      </w:r>
      <w:r w:rsidR="00B047AF">
        <w:rPr>
          <w:rFonts w:ascii="Calibri" w:hAnsi="Calibri" w:cs="Arial"/>
          <w:sz w:val="20"/>
          <w:szCs w:val="20"/>
        </w:rPr>
        <w:t xml:space="preserve">, Opatření děkanky 8/2018 Vymezení působnosti a pravomocí proděkanů, </w:t>
      </w:r>
      <w:r w:rsidR="0097588F" w:rsidRPr="0097588F">
        <w:rPr>
          <w:rFonts w:ascii="Calibri" w:hAnsi="Calibri" w:cs="Arial"/>
          <w:sz w:val="20"/>
          <w:szCs w:val="20"/>
        </w:rPr>
        <w:t xml:space="preserve"> a Opatření děkana č. </w:t>
      </w:r>
      <w:r w:rsidR="006D08C4">
        <w:rPr>
          <w:rFonts w:ascii="Calibri" w:hAnsi="Calibri" w:cs="Arial"/>
          <w:sz w:val="20"/>
          <w:szCs w:val="20"/>
        </w:rPr>
        <w:t>26/2017</w:t>
      </w:r>
      <w:r w:rsidR="0097588F" w:rsidRPr="0097588F">
        <w:rPr>
          <w:rFonts w:ascii="Calibri" w:hAnsi="Calibri" w:cs="Arial"/>
          <w:sz w:val="20"/>
          <w:szCs w:val="20"/>
        </w:rPr>
        <w:t xml:space="preserve">  Směrnice pro oběh účetních do</w:t>
      </w:r>
      <w:r w:rsidR="006A2CC4">
        <w:rPr>
          <w:rFonts w:ascii="Calibri" w:hAnsi="Calibri" w:cs="Arial"/>
          <w:sz w:val="20"/>
          <w:szCs w:val="20"/>
        </w:rPr>
        <w:t>kladů na</w:t>
      </w:r>
      <w:r w:rsidR="006D08C4">
        <w:rPr>
          <w:rFonts w:ascii="Calibri" w:hAnsi="Calibri" w:cs="Arial"/>
          <w:sz w:val="20"/>
          <w:szCs w:val="20"/>
        </w:rPr>
        <w:t xml:space="preserve"> Fakultě sociálních věd, která byla změněna</w:t>
      </w:r>
      <w:r w:rsidR="006A2CC4">
        <w:rPr>
          <w:rFonts w:ascii="Calibri" w:hAnsi="Calibri" w:cs="Arial"/>
          <w:sz w:val="20"/>
          <w:szCs w:val="20"/>
        </w:rPr>
        <w:t xml:space="preserve"> Opatřením děkana č</w:t>
      </w:r>
      <w:r w:rsidR="006D08C4">
        <w:rPr>
          <w:rFonts w:ascii="Calibri" w:hAnsi="Calibri" w:cs="Arial"/>
          <w:sz w:val="20"/>
          <w:szCs w:val="20"/>
        </w:rPr>
        <w:t>.5/2018</w:t>
      </w:r>
      <w:r w:rsidR="006A2CC4">
        <w:rPr>
          <w:rFonts w:ascii="Calibri" w:hAnsi="Calibri" w:cs="Arial"/>
          <w:sz w:val="20"/>
          <w:szCs w:val="20"/>
        </w:rPr>
        <w:t>.</w:t>
      </w:r>
      <w:r w:rsidR="009E078C">
        <w:rPr>
          <w:rFonts w:ascii="Calibri" w:hAnsi="Calibri" w:cs="Arial"/>
          <w:sz w:val="20"/>
          <w:szCs w:val="20"/>
        </w:rPr>
        <w:t xml:space="preserve"> </w:t>
      </w:r>
      <w:r w:rsidR="00AB59D9">
        <w:rPr>
          <w:rFonts w:ascii="Calibri" w:hAnsi="Calibri" w:cs="Arial"/>
          <w:sz w:val="20"/>
          <w:szCs w:val="20"/>
        </w:rPr>
        <w:t>V roce 201</w:t>
      </w:r>
      <w:r w:rsidR="006D08C4">
        <w:rPr>
          <w:rFonts w:ascii="Calibri" w:hAnsi="Calibri" w:cs="Arial"/>
          <w:sz w:val="20"/>
          <w:szCs w:val="20"/>
        </w:rPr>
        <w:t>8</w:t>
      </w:r>
      <w:r w:rsidR="00AB59D9">
        <w:rPr>
          <w:rFonts w:ascii="Calibri" w:hAnsi="Calibri" w:cs="Arial"/>
          <w:sz w:val="20"/>
          <w:szCs w:val="20"/>
        </w:rPr>
        <w:t xml:space="preserve"> bylo pokračováno v</w:t>
      </w:r>
      <w:r w:rsidR="008F0D59">
        <w:rPr>
          <w:rFonts w:ascii="Calibri" w:hAnsi="Calibri" w:cs="Arial"/>
          <w:sz w:val="20"/>
          <w:szCs w:val="20"/>
        </w:rPr>
        <w:t xml:space="preserve"> aktualizacích vnitřních opatření děkanky:</w:t>
      </w:r>
    </w:p>
    <w:p w:rsidR="008F0D59" w:rsidRPr="008C6D75" w:rsidRDefault="008F0D59" w:rsidP="008C6D75">
      <w:pPr>
        <w:pStyle w:val="Odstavecseseznamem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cs-CZ"/>
        </w:rPr>
      </w:pPr>
      <w:r w:rsidRPr="008C6D75">
        <w:rPr>
          <w:rFonts w:ascii="Calibri" w:hAnsi="Calibri" w:cs="Arial"/>
          <w:sz w:val="20"/>
          <w:szCs w:val="20"/>
          <w:lang w:eastAsia="cs-CZ"/>
        </w:rPr>
        <w:t>5/2018 Změna opatření děkana č. 26/2017 – Směrnice pro oběh účetních dokladů na Fakultě sociálních věd</w:t>
      </w:r>
      <w:r w:rsidR="008C6D75">
        <w:rPr>
          <w:rFonts w:ascii="Calibri" w:hAnsi="Calibri" w:cs="Arial"/>
          <w:sz w:val="20"/>
          <w:szCs w:val="20"/>
          <w:lang w:eastAsia="cs-CZ"/>
        </w:rPr>
        <w:t>;</w:t>
      </w:r>
    </w:p>
    <w:p w:rsidR="008F0D59" w:rsidRPr="008C6D75" w:rsidRDefault="008F0D59" w:rsidP="008C6D75">
      <w:pPr>
        <w:pStyle w:val="Odstavecseseznamem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cs-CZ"/>
        </w:rPr>
      </w:pPr>
      <w:r w:rsidRPr="008C6D75">
        <w:rPr>
          <w:rFonts w:ascii="Calibri" w:hAnsi="Calibri" w:cs="Arial"/>
          <w:sz w:val="20"/>
          <w:szCs w:val="20"/>
          <w:lang w:eastAsia="cs-CZ"/>
        </w:rPr>
        <w:t>1/2018 Opatření pro správu majetku a nakládání s tímto majetkem</w:t>
      </w:r>
      <w:r w:rsidR="008C6D75">
        <w:rPr>
          <w:rFonts w:ascii="Calibri" w:hAnsi="Calibri" w:cs="Arial"/>
          <w:sz w:val="20"/>
          <w:szCs w:val="20"/>
          <w:lang w:eastAsia="cs-CZ"/>
        </w:rPr>
        <w:t>;</w:t>
      </w:r>
      <w:r w:rsidRPr="008C6D75">
        <w:rPr>
          <w:rFonts w:ascii="Calibri" w:hAnsi="Calibri" w:cs="Arial"/>
          <w:sz w:val="20"/>
          <w:szCs w:val="20"/>
          <w:lang w:eastAsia="cs-CZ"/>
        </w:rPr>
        <w:t xml:space="preserve"> </w:t>
      </w:r>
    </w:p>
    <w:p w:rsidR="008F0D59" w:rsidRPr="008C6D75" w:rsidRDefault="008F0D59" w:rsidP="008C6D75">
      <w:pPr>
        <w:pStyle w:val="Odstavecseseznamem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cs-CZ"/>
        </w:rPr>
      </w:pPr>
      <w:r w:rsidRPr="008C6D75">
        <w:rPr>
          <w:rFonts w:ascii="Calibri" w:hAnsi="Calibri" w:cs="Arial"/>
          <w:sz w:val="20"/>
          <w:szCs w:val="20"/>
          <w:lang w:eastAsia="cs-CZ"/>
        </w:rPr>
        <w:t>8/2018 Vymezení působností a pravomocí proděkanů. Vymezení působností a pravomocí některých členů kolegia děkanky Fakulty sociálních věd Univerzity Karlovy</w:t>
      </w:r>
      <w:r w:rsidR="008C6D75">
        <w:rPr>
          <w:rFonts w:ascii="Calibri" w:hAnsi="Calibri" w:cs="Arial"/>
          <w:sz w:val="20"/>
          <w:szCs w:val="20"/>
          <w:lang w:eastAsia="cs-CZ"/>
        </w:rPr>
        <w:t>;</w:t>
      </w:r>
    </w:p>
    <w:p w:rsidR="008F0D59" w:rsidRPr="008C6D75" w:rsidRDefault="008F0D59" w:rsidP="008C6D75">
      <w:pPr>
        <w:pStyle w:val="Odstavecseseznamem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cs-CZ"/>
        </w:rPr>
      </w:pPr>
      <w:r w:rsidRPr="008C6D75">
        <w:rPr>
          <w:rFonts w:ascii="Calibri" w:hAnsi="Calibri" w:cs="Arial"/>
          <w:sz w:val="20"/>
          <w:szCs w:val="20"/>
          <w:lang w:eastAsia="cs-CZ"/>
        </w:rPr>
        <w:t>12/2018 Organizační řád děkanátu Fakulty sociálních věd Univerzity Karlovy</w:t>
      </w:r>
      <w:r w:rsidR="008C6D75">
        <w:rPr>
          <w:rFonts w:ascii="Calibri" w:hAnsi="Calibri" w:cs="Arial"/>
          <w:sz w:val="20"/>
          <w:szCs w:val="20"/>
          <w:lang w:eastAsia="cs-CZ"/>
        </w:rPr>
        <w:t>;</w:t>
      </w:r>
    </w:p>
    <w:p w:rsidR="008F0D59" w:rsidRPr="008C6D75" w:rsidRDefault="008F0D59" w:rsidP="008C6D75">
      <w:pPr>
        <w:pStyle w:val="Odstavecseseznamem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cs-CZ"/>
        </w:rPr>
      </w:pPr>
      <w:r w:rsidRPr="008C6D75">
        <w:rPr>
          <w:rFonts w:ascii="Calibri" w:hAnsi="Calibri" w:cs="Arial"/>
          <w:sz w:val="20"/>
          <w:szCs w:val="20"/>
          <w:lang w:eastAsia="cs-CZ"/>
        </w:rPr>
        <w:t xml:space="preserve">22/2018 Změna opatření děkanky č. 8/2018 Vymezení působností a pravomocí proděkanů, Vymezení </w:t>
      </w:r>
      <w:r w:rsidRPr="008C6D75">
        <w:rPr>
          <w:rFonts w:ascii="Calibri" w:hAnsi="Calibri" w:cs="Arial"/>
          <w:sz w:val="20"/>
          <w:szCs w:val="20"/>
          <w:lang w:eastAsia="cs-CZ"/>
        </w:rPr>
        <w:lastRenderedPageBreak/>
        <w:t>působností a pravomocí některých členů kolegia děkanky Fakulty sociálních věd Univerzity Karlovy</w:t>
      </w:r>
      <w:r w:rsidR="008C6D75">
        <w:rPr>
          <w:rFonts w:ascii="Calibri" w:hAnsi="Calibri" w:cs="Arial"/>
          <w:sz w:val="20"/>
          <w:szCs w:val="20"/>
          <w:lang w:eastAsia="cs-CZ"/>
        </w:rPr>
        <w:t>;</w:t>
      </w:r>
    </w:p>
    <w:p w:rsidR="008F0D59" w:rsidRPr="008C6D75" w:rsidRDefault="008F0D59" w:rsidP="008C6D75">
      <w:pPr>
        <w:pStyle w:val="Odstavecseseznamem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cs-CZ"/>
        </w:rPr>
      </w:pPr>
      <w:r w:rsidRPr="008C6D75">
        <w:rPr>
          <w:rFonts w:ascii="Calibri" w:hAnsi="Calibri" w:cs="Arial"/>
          <w:sz w:val="20"/>
          <w:szCs w:val="20"/>
          <w:lang w:eastAsia="cs-CZ"/>
        </w:rPr>
        <w:t>26/2018 Změna opatření děkana č. 3/2018 Pravidla pro uzavírání smluvních vztahů, postup při uveřejňování smluv v registru smluv</w:t>
      </w:r>
      <w:r w:rsidR="008C6D75">
        <w:rPr>
          <w:rFonts w:ascii="Calibri" w:hAnsi="Calibri" w:cs="Arial"/>
          <w:sz w:val="20"/>
          <w:szCs w:val="20"/>
          <w:lang w:eastAsia="cs-CZ"/>
        </w:rPr>
        <w:t>;</w:t>
      </w:r>
    </w:p>
    <w:p w:rsidR="008F0D59" w:rsidRPr="008C6D75" w:rsidRDefault="008F0D59" w:rsidP="008C6D75">
      <w:pPr>
        <w:pStyle w:val="Odstavecseseznamem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cs-CZ"/>
        </w:rPr>
      </w:pPr>
      <w:r w:rsidRPr="008C6D75">
        <w:rPr>
          <w:rFonts w:ascii="Calibri" w:hAnsi="Calibri" w:cs="Arial"/>
          <w:sz w:val="20"/>
          <w:szCs w:val="20"/>
          <w:lang w:eastAsia="cs-CZ"/>
        </w:rPr>
        <w:t>27/2018 Projednávání škod vzniklých na Fakultě sociálních věd – Komise pro náhradu škod</w:t>
      </w:r>
      <w:r w:rsidR="008C6D75">
        <w:rPr>
          <w:rFonts w:ascii="Calibri" w:hAnsi="Calibri" w:cs="Arial"/>
          <w:sz w:val="20"/>
          <w:szCs w:val="20"/>
          <w:lang w:eastAsia="cs-CZ"/>
        </w:rPr>
        <w:t>.</w:t>
      </w:r>
    </w:p>
    <w:p w:rsidR="008C6D75" w:rsidRDefault="008C6D75" w:rsidP="00991141">
      <w:pPr>
        <w:jc w:val="both"/>
        <w:rPr>
          <w:rFonts w:ascii="Calibri" w:hAnsi="Calibri" w:cs="Arial"/>
          <w:sz w:val="20"/>
          <w:szCs w:val="20"/>
        </w:rPr>
      </w:pPr>
    </w:p>
    <w:p w:rsidR="00D10447" w:rsidRDefault="00D10447" w:rsidP="00991141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Fakulta neměla v roce 201</w:t>
      </w:r>
      <w:r w:rsidR="006D08C4">
        <w:rPr>
          <w:rFonts w:ascii="Calibri" w:hAnsi="Calibri" w:cs="Arial"/>
          <w:sz w:val="20"/>
          <w:szCs w:val="20"/>
        </w:rPr>
        <w:t>8</w:t>
      </w:r>
      <w:r>
        <w:rPr>
          <w:rFonts w:ascii="Calibri" w:hAnsi="Calibri" w:cs="Arial"/>
          <w:sz w:val="20"/>
          <w:szCs w:val="20"/>
        </w:rPr>
        <w:t xml:space="preserve"> zřízeno vlastní oddělení </w:t>
      </w:r>
      <w:r w:rsidRPr="00D10447">
        <w:rPr>
          <w:rFonts w:ascii="Calibri" w:hAnsi="Calibri" w:cs="Arial"/>
          <w:sz w:val="20"/>
          <w:szCs w:val="20"/>
        </w:rPr>
        <w:t>interní</w:t>
      </w:r>
      <w:r>
        <w:rPr>
          <w:rFonts w:ascii="Calibri" w:hAnsi="Calibri" w:cs="Arial"/>
          <w:sz w:val="20"/>
          <w:szCs w:val="20"/>
        </w:rPr>
        <w:t>ho</w:t>
      </w:r>
      <w:r w:rsidRPr="00D10447">
        <w:rPr>
          <w:rFonts w:ascii="Calibri" w:hAnsi="Calibri" w:cs="Arial"/>
          <w:sz w:val="20"/>
          <w:szCs w:val="20"/>
        </w:rPr>
        <w:t xml:space="preserve"> audit</w:t>
      </w:r>
      <w:r>
        <w:rPr>
          <w:rFonts w:ascii="Calibri" w:hAnsi="Calibri" w:cs="Arial"/>
          <w:sz w:val="20"/>
          <w:szCs w:val="20"/>
        </w:rPr>
        <w:t>u</w:t>
      </w:r>
      <w:r w:rsidR="00B46DB6">
        <w:rPr>
          <w:rFonts w:ascii="Calibri" w:hAnsi="Calibri" w:cs="Arial"/>
          <w:sz w:val="20"/>
          <w:szCs w:val="20"/>
        </w:rPr>
        <w:t>. Interní audit byl pro projekty řešený v rámci DPP</w:t>
      </w:r>
      <w:r w:rsidRPr="00D10447">
        <w:rPr>
          <w:rFonts w:ascii="Calibri" w:hAnsi="Calibri" w:cs="Arial"/>
          <w:sz w:val="20"/>
          <w:szCs w:val="20"/>
        </w:rPr>
        <w:t xml:space="preserve">. Účinnost </w:t>
      </w:r>
      <w:r>
        <w:rPr>
          <w:rFonts w:ascii="Calibri" w:hAnsi="Calibri" w:cs="Arial"/>
          <w:sz w:val="20"/>
          <w:szCs w:val="20"/>
        </w:rPr>
        <w:t xml:space="preserve">vnitřního kontrolního systému je </w:t>
      </w:r>
      <w:r w:rsidRPr="00D10447">
        <w:rPr>
          <w:rFonts w:ascii="Calibri" w:hAnsi="Calibri" w:cs="Arial"/>
          <w:sz w:val="20"/>
          <w:szCs w:val="20"/>
        </w:rPr>
        <w:t>zajišťována zejména integrovaným nastavením metod</w:t>
      </w:r>
      <w:r>
        <w:rPr>
          <w:rFonts w:ascii="Calibri" w:hAnsi="Calibri" w:cs="Arial"/>
          <w:sz w:val="20"/>
          <w:szCs w:val="20"/>
        </w:rPr>
        <w:t>ických postupů, jednoznač</w:t>
      </w:r>
      <w:r w:rsidRPr="00D10447">
        <w:rPr>
          <w:rFonts w:ascii="Calibri" w:hAnsi="Calibri" w:cs="Arial"/>
          <w:sz w:val="20"/>
          <w:szCs w:val="20"/>
        </w:rPr>
        <w:t xml:space="preserve">ností kompetencí a rolí v rámci liniového a projektového řízení. </w:t>
      </w:r>
    </w:p>
    <w:p w:rsidR="0097588F" w:rsidRDefault="0097588F" w:rsidP="00991141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Ve sledovaném období proběhly následující kontroly:</w:t>
      </w:r>
    </w:p>
    <w:p w:rsidR="006A2CC4" w:rsidRPr="006A2CC4" w:rsidRDefault="008F0D59" w:rsidP="006A2CC4">
      <w:pPr>
        <w:pStyle w:val="Odstavecseseznamem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VZP</w:t>
      </w:r>
    </w:p>
    <w:p w:rsidR="006A2CC4" w:rsidRPr="006A2CC4" w:rsidRDefault="006A2CC4" w:rsidP="00900281">
      <w:pPr>
        <w:ind w:firstLine="708"/>
        <w:rPr>
          <w:rFonts w:ascii="Calibri" w:hAnsi="Calibri" w:cs="Arial"/>
          <w:sz w:val="20"/>
          <w:szCs w:val="20"/>
        </w:rPr>
      </w:pPr>
      <w:r w:rsidRPr="006A2CC4">
        <w:rPr>
          <w:rFonts w:ascii="Calibri" w:hAnsi="Calibri" w:cs="Arial"/>
          <w:sz w:val="20"/>
          <w:szCs w:val="20"/>
        </w:rPr>
        <w:t xml:space="preserve">Kontrolované období </w:t>
      </w:r>
      <w:r w:rsidR="008F0D59">
        <w:rPr>
          <w:rFonts w:ascii="Calibri" w:hAnsi="Calibri" w:cs="Arial"/>
          <w:sz w:val="20"/>
          <w:szCs w:val="20"/>
        </w:rPr>
        <w:t>3/2014</w:t>
      </w:r>
      <w:r w:rsidR="00AB59D9">
        <w:rPr>
          <w:rFonts w:ascii="Calibri" w:hAnsi="Calibri" w:cs="Arial"/>
          <w:sz w:val="20"/>
          <w:szCs w:val="20"/>
        </w:rPr>
        <w:t xml:space="preserve"> – </w:t>
      </w:r>
      <w:r w:rsidR="00E033E8">
        <w:rPr>
          <w:rFonts w:ascii="Calibri" w:hAnsi="Calibri" w:cs="Arial"/>
          <w:sz w:val="20"/>
          <w:szCs w:val="20"/>
        </w:rPr>
        <w:t>10</w:t>
      </w:r>
      <w:r w:rsidR="008F0D59">
        <w:rPr>
          <w:rFonts w:ascii="Calibri" w:hAnsi="Calibri" w:cs="Arial"/>
          <w:sz w:val="20"/>
          <w:szCs w:val="20"/>
        </w:rPr>
        <w:t>/</w:t>
      </w:r>
      <w:r w:rsidR="00AB59D9">
        <w:rPr>
          <w:rFonts w:ascii="Calibri" w:hAnsi="Calibri" w:cs="Arial"/>
          <w:sz w:val="20"/>
          <w:szCs w:val="20"/>
        </w:rPr>
        <w:t>2017</w:t>
      </w:r>
    </w:p>
    <w:p w:rsidR="0097588F" w:rsidRDefault="0097588F" w:rsidP="0097588F">
      <w:pPr>
        <w:rPr>
          <w:rFonts w:ascii="Calibri" w:hAnsi="Calibri" w:cs="Arial"/>
          <w:sz w:val="20"/>
          <w:szCs w:val="20"/>
        </w:rPr>
      </w:pPr>
    </w:p>
    <w:p w:rsidR="0097588F" w:rsidRPr="0097588F" w:rsidRDefault="0097588F" w:rsidP="00991141">
      <w:pPr>
        <w:widowControl w:val="0"/>
        <w:suppressAutoHyphens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Fakulta s</w:t>
      </w:r>
      <w:r w:rsidR="00AB59D9">
        <w:rPr>
          <w:rFonts w:ascii="Calibri" w:hAnsi="Calibri" w:cs="Arial"/>
          <w:sz w:val="20"/>
          <w:szCs w:val="20"/>
        </w:rPr>
        <w:t>ociálních věd bude i v roce 201</w:t>
      </w:r>
      <w:r w:rsidR="006D08C4">
        <w:rPr>
          <w:rFonts w:ascii="Calibri" w:hAnsi="Calibri" w:cs="Arial"/>
          <w:sz w:val="20"/>
          <w:szCs w:val="20"/>
        </w:rPr>
        <w:t>9</w:t>
      </w:r>
      <w:r>
        <w:rPr>
          <w:rFonts w:ascii="Calibri" w:hAnsi="Calibri" w:cs="Arial"/>
          <w:sz w:val="20"/>
          <w:szCs w:val="20"/>
        </w:rPr>
        <w:t xml:space="preserve"> pokračovat v posilován</w:t>
      </w:r>
      <w:r w:rsidR="006D08C4">
        <w:rPr>
          <w:rFonts w:ascii="Calibri" w:hAnsi="Calibri" w:cs="Arial"/>
          <w:sz w:val="20"/>
          <w:szCs w:val="20"/>
        </w:rPr>
        <w:t>í vnitřního kontrolního systému.</w:t>
      </w:r>
    </w:p>
    <w:p w:rsidR="0097588F" w:rsidRDefault="0097588F" w:rsidP="0097588F">
      <w:pPr>
        <w:rPr>
          <w:rFonts w:ascii="Calibri" w:hAnsi="Calibri" w:cs="Arial"/>
          <w:sz w:val="20"/>
          <w:szCs w:val="20"/>
        </w:rPr>
      </w:pPr>
    </w:p>
    <w:p w:rsidR="00080B63" w:rsidRDefault="00080B63" w:rsidP="0097588F">
      <w:pPr>
        <w:rPr>
          <w:rFonts w:ascii="Calibri" w:hAnsi="Calibri" w:cs="Arial"/>
          <w:sz w:val="20"/>
          <w:szCs w:val="20"/>
        </w:rPr>
      </w:pPr>
    </w:p>
    <w:p w:rsidR="00857683" w:rsidRPr="003F01E8" w:rsidRDefault="006D08C4" w:rsidP="00857683">
      <w:pPr>
        <w:pStyle w:val="Nadpis3"/>
        <w:spacing w:befor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Ing. Ondřej Blažek</w:t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</w:p>
    <w:p w:rsidR="00857683" w:rsidRPr="003F01E8" w:rsidRDefault="00BF5ED4" w:rsidP="00857683">
      <w:pPr>
        <w:pStyle w:val="Nadpis3"/>
        <w:spacing w:befor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tajemník</w:t>
      </w:r>
      <w:r w:rsidR="00857683" w:rsidRPr="003F01E8">
        <w:rPr>
          <w:rFonts w:ascii="Calibri" w:hAnsi="Calibri"/>
          <w:sz w:val="20"/>
          <w:szCs w:val="20"/>
        </w:rPr>
        <w:t xml:space="preserve"> fakulty</w:t>
      </w:r>
    </w:p>
    <w:p w:rsidR="00F73F19" w:rsidRPr="003F01E8" w:rsidRDefault="00F73F19">
      <w:pPr>
        <w:rPr>
          <w:sz w:val="20"/>
          <w:szCs w:val="20"/>
        </w:rPr>
      </w:pPr>
    </w:p>
    <w:sectPr w:rsidR="00F73F19" w:rsidRPr="003F01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A8" w:rsidRDefault="006E16A8" w:rsidP="00AC55A2">
      <w:r>
        <w:separator/>
      </w:r>
    </w:p>
  </w:endnote>
  <w:endnote w:type="continuationSeparator" w:id="0">
    <w:p w:rsidR="006E16A8" w:rsidRDefault="006E16A8" w:rsidP="00A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A2" w:rsidRPr="00AC55A2" w:rsidRDefault="00AC55A2" w:rsidP="00AC55A2">
    <w:pPr>
      <w:pStyle w:val="Zpat"/>
      <w:jc w:val="center"/>
      <w:rPr>
        <w:rFonts w:asciiTheme="minorHAnsi" w:hAnsiTheme="minorHAnsi"/>
        <w:sz w:val="18"/>
      </w:rPr>
    </w:pPr>
    <w:r w:rsidRPr="00AC55A2">
      <w:rPr>
        <w:rFonts w:asciiTheme="minorHAnsi" w:hAnsiTheme="minorHAnsi"/>
        <w:b/>
        <w:sz w:val="18"/>
      </w:rPr>
      <w:fldChar w:fldCharType="begin"/>
    </w:r>
    <w:r w:rsidRPr="00AC55A2">
      <w:rPr>
        <w:rFonts w:asciiTheme="minorHAnsi" w:hAnsiTheme="minorHAnsi"/>
        <w:b/>
        <w:sz w:val="18"/>
      </w:rPr>
      <w:instrText>PAGE  \* Arabic  \* MERGEFORMAT</w:instrText>
    </w:r>
    <w:r w:rsidRPr="00AC55A2">
      <w:rPr>
        <w:rFonts w:asciiTheme="minorHAnsi" w:hAnsiTheme="minorHAnsi"/>
        <w:b/>
        <w:sz w:val="18"/>
      </w:rPr>
      <w:fldChar w:fldCharType="separate"/>
    </w:r>
    <w:r w:rsidR="00206002">
      <w:rPr>
        <w:rFonts w:asciiTheme="minorHAnsi" w:hAnsiTheme="minorHAnsi"/>
        <w:b/>
        <w:noProof/>
        <w:sz w:val="18"/>
      </w:rPr>
      <w:t>2</w:t>
    </w:r>
    <w:r w:rsidRPr="00AC55A2">
      <w:rPr>
        <w:rFonts w:asciiTheme="minorHAnsi" w:hAnsiTheme="minorHAnsi"/>
        <w:b/>
        <w:sz w:val="18"/>
      </w:rPr>
      <w:fldChar w:fldCharType="end"/>
    </w:r>
    <w:r w:rsidRPr="00AC55A2">
      <w:rPr>
        <w:rFonts w:asciiTheme="minorHAnsi" w:hAnsiTheme="min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A8" w:rsidRDefault="006E16A8" w:rsidP="00AC55A2">
      <w:r>
        <w:separator/>
      </w:r>
    </w:p>
  </w:footnote>
  <w:footnote w:type="continuationSeparator" w:id="0">
    <w:p w:rsidR="006E16A8" w:rsidRDefault="006E16A8" w:rsidP="00AC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1DB"/>
    <w:multiLevelType w:val="hybridMultilevel"/>
    <w:tmpl w:val="950C66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4EB"/>
    <w:multiLevelType w:val="hybridMultilevel"/>
    <w:tmpl w:val="4998A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C0A2A"/>
    <w:multiLevelType w:val="hybridMultilevel"/>
    <w:tmpl w:val="25F6C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c9YWvm11O9ZCuBw6+aBetvM2IrU=" w:salt="HHDoU4M6SAW4vGzIIh/t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83"/>
    <w:rsid w:val="00013CC7"/>
    <w:rsid w:val="00080B63"/>
    <w:rsid w:val="000B2BB8"/>
    <w:rsid w:val="000D3275"/>
    <w:rsid w:val="000E4365"/>
    <w:rsid w:val="00114A19"/>
    <w:rsid w:val="00156A71"/>
    <w:rsid w:val="001649B9"/>
    <w:rsid w:val="00166F7E"/>
    <w:rsid w:val="00177E48"/>
    <w:rsid w:val="00181905"/>
    <w:rsid w:val="001C69E8"/>
    <w:rsid w:val="001E6F49"/>
    <w:rsid w:val="001F67D8"/>
    <w:rsid w:val="00206002"/>
    <w:rsid w:val="00230C50"/>
    <w:rsid w:val="00235DB1"/>
    <w:rsid w:val="002552FB"/>
    <w:rsid w:val="00267D66"/>
    <w:rsid w:val="002E4017"/>
    <w:rsid w:val="002F362F"/>
    <w:rsid w:val="002F646B"/>
    <w:rsid w:val="00304493"/>
    <w:rsid w:val="003124A5"/>
    <w:rsid w:val="003165D7"/>
    <w:rsid w:val="00333F16"/>
    <w:rsid w:val="0037381B"/>
    <w:rsid w:val="00375029"/>
    <w:rsid w:val="003761F4"/>
    <w:rsid w:val="00376B4C"/>
    <w:rsid w:val="00383AE1"/>
    <w:rsid w:val="003875A3"/>
    <w:rsid w:val="003D2A8B"/>
    <w:rsid w:val="003E1142"/>
    <w:rsid w:val="003F01E8"/>
    <w:rsid w:val="00424E1B"/>
    <w:rsid w:val="004407F1"/>
    <w:rsid w:val="00440DAB"/>
    <w:rsid w:val="00461C49"/>
    <w:rsid w:val="004B0D43"/>
    <w:rsid w:val="005104B9"/>
    <w:rsid w:val="00511899"/>
    <w:rsid w:val="00514A87"/>
    <w:rsid w:val="00515742"/>
    <w:rsid w:val="005248D0"/>
    <w:rsid w:val="0053362A"/>
    <w:rsid w:val="00544D99"/>
    <w:rsid w:val="0055452D"/>
    <w:rsid w:val="00575B30"/>
    <w:rsid w:val="00582FCB"/>
    <w:rsid w:val="005B5DE4"/>
    <w:rsid w:val="005F198F"/>
    <w:rsid w:val="005F3C11"/>
    <w:rsid w:val="00631DD6"/>
    <w:rsid w:val="00665F8F"/>
    <w:rsid w:val="006919F5"/>
    <w:rsid w:val="006A0F60"/>
    <w:rsid w:val="006A144D"/>
    <w:rsid w:val="006A15A6"/>
    <w:rsid w:val="006A2CC4"/>
    <w:rsid w:val="006B3D42"/>
    <w:rsid w:val="006D08C4"/>
    <w:rsid w:val="006D2AFA"/>
    <w:rsid w:val="006E16A8"/>
    <w:rsid w:val="007217A2"/>
    <w:rsid w:val="0072402C"/>
    <w:rsid w:val="007249FD"/>
    <w:rsid w:val="007A7E6B"/>
    <w:rsid w:val="007F1398"/>
    <w:rsid w:val="00803A0B"/>
    <w:rsid w:val="00857683"/>
    <w:rsid w:val="00862E9D"/>
    <w:rsid w:val="00872A6E"/>
    <w:rsid w:val="00873463"/>
    <w:rsid w:val="00891E57"/>
    <w:rsid w:val="00891ED3"/>
    <w:rsid w:val="008C6D75"/>
    <w:rsid w:val="008F0D59"/>
    <w:rsid w:val="00900281"/>
    <w:rsid w:val="00915302"/>
    <w:rsid w:val="00940EC9"/>
    <w:rsid w:val="009440E8"/>
    <w:rsid w:val="009501E4"/>
    <w:rsid w:val="009708DF"/>
    <w:rsid w:val="00973FC6"/>
    <w:rsid w:val="0097588F"/>
    <w:rsid w:val="009837CC"/>
    <w:rsid w:val="00991141"/>
    <w:rsid w:val="00995AC6"/>
    <w:rsid w:val="009E078C"/>
    <w:rsid w:val="009F56FB"/>
    <w:rsid w:val="00A020F7"/>
    <w:rsid w:val="00A14A70"/>
    <w:rsid w:val="00A316A2"/>
    <w:rsid w:val="00A459FB"/>
    <w:rsid w:val="00A53BBF"/>
    <w:rsid w:val="00A6433D"/>
    <w:rsid w:val="00A943A7"/>
    <w:rsid w:val="00AA0CA8"/>
    <w:rsid w:val="00AA605F"/>
    <w:rsid w:val="00AB0D01"/>
    <w:rsid w:val="00AB59D9"/>
    <w:rsid w:val="00AC4375"/>
    <w:rsid w:val="00AC55A2"/>
    <w:rsid w:val="00AF38AF"/>
    <w:rsid w:val="00B047AF"/>
    <w:rsid w:val="00B46DB6"/>
    <w:rsid w:val="00B55A05"/>
    <w:rsid w:val="00B806EF"/>
    <w:rsid w:val="00BA132B"/>
    <w:rsid w:val="00BA3900"/>
    <w:rsid w:val="00BB4398"/>
    <w:rsid w:val="00BF5ED4"/>
    <w:rsid w:val="00C06DAD"/>
    <w:rsid w:val="00C12049"/>
    <w:rsid w:val="00C128D5"/>
    <w:rsid w:val="00C216CA"/>
    <w:rsid w:val="00C246A7"/>
    <w:rsid w:val="00C311C2"/>
    <w:rsid w:val="00CC02B9"/>
    <w:rsid w:val="00CD534C"/>
    <w:rsid w:val="00D10447"/>
    <w:rsid w:val="00D23058"/>
    <w:rsid w:val="00D35A72"/>
    <w:rsid w:val="00D60B28"/>
    <w:rsid w:val="00D663A1"/>
    <w:rsid w:val="00D85976"/>
    <w:rsid w:val="00DA4FC9"/>
    <w:rsid w:val="00DC0016"/>
    <w:rsid w:val="00DF51DF"/>
    <w:rsid w:val="00E033E8"/>
    <w:rsid w:val="00E05B44"/>
    <w:rsid w:val="00E2703A"/>
    <w:rsid w:val="00E40529"/>
    <w:rsid w:val="00E5117B"/>
    <w:rsid w:val="00E739E5"/>
    <w:rsid w:val="00E921AA"/>
    <w:rsid w:val="00E953B2"/>
    <w:rsid w:val="00EA5352"/>
    <w:rsid w:val="00ED32A7"/>
    <w:rsid w:val="00ED5B46"/>
    <w:rsid w:val="00F32187"/>
    <w:rsid w:val="00F532C1"/>
    <w:rsid w:val="00F73F19"/>
    <w:rsid w:val="00F86CE6"/>
    <w:rsid w:val="00F939D9"/>
    <w:rsid w:val="00F97098"/>
    <w:rsid w:val="00FA545D"/>
    <w:rsid w:val="00FB34D4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857683"/>
    <w:pPr>
      <w:keepNext/>
      <w:spacing w:after="240"/>
      <w:outlineLvl w:val="0"/>
    </w:pPr>
    <w:rPr>
      <w:rFonts w:cs="Arial"/>
      <w:b/>
      <w:bCs/>
      <w:kern w:val="32"/>
      <w:sz w:val="50"/>
      <w:szCs w:val="32"/>
    </w:rPr>
  </w:style>
  <w:style w:type="paragraph" w:styleId="Nadpis3">
    <w:name w:val="heading 3"/>
    <w:aliases w:val="Podkap 3.3.3"/>
    <w:basedOn w:val="Normln"/>
    <w:next w:val="Normln"/>
    <w:link w:val="Nadpis3Char"/>
    <w:qFormat/>
    <w:rsid w:val="00857683"/>
    <w:pPr>
      <w:keepNext/>
      <w:spacing w:before="120" w:after="60"/>
      <w:outlineLvl w:val="2"/>
    </w:pPr>
    <w:rPr>
      <w:rFonts w:cs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857683"/>
    <w:rPr>
      <w:rFonts w:ascii="Times New Roman" w:eastAsia="Times New Roman" w:hAnsi="Times New Roman" w:cs="Arial"/>
      <w:b/>
      <w:bCs/>
      <w:kern w:val="32"/>
      <w:sz w:val="50"/>
      <w:szCs w:val="32"/>
    </w:rPr>
  </w:style>
  <w:style w:type="character" w:customStyle="1" w:styleId="Nadpis3Char">
    <w:name w:val="Nadpis 3 Char"/>
    <w:aliases w:val="Podkap 3.3.3 Char"/>
    <w:basedOn w:val="Standardnpsmoodstavce"/>
    <w:link w:val="Nadpis3"/>
    <w:rsid w:val="00857683"/>
    <w:rPr>
      <w:rFonts w:ascii="Times New Roman" w:eastAsia="Times New Roman" w:hAnsi="Times New Roman" w:cs="Arial"/>
      <w:b/>
      <w:bCs/>
      <w:sz w:val="28"/>
      <w:szCs w:val="26"/>
    </w:rPr>
  </w:style>
  <w:style w:type="character" w:styleId="Hypertextovodkaz">
    <w:name w:val="Hyperlink"/>
    <w:rsid w:val="00177E48"/>
    <w:rPr>
      <w:rFonts w:ascii="Times New Roman" w:hAnsi="Times New Roman"/>
      <w:b/>
      <w:color w:val="0000FF"/>
      <w:sz w:val="24"/>
      <w:u w:val="single"/>
    </w:rPr>
  </w:style>
  <w:style w:type="character" w:customStyle="1" w:styleId="NormlnKurzva">
    <w:name w:val="Normální Kurzíva"/>
    <w:rsid w:val="00177E48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A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8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5A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5A2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0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38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8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81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F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857683"/>
    <w:pPr>
      <w:keepNext/>
      <w:spacing w:after="240"/>
      <w:outlineLvl w:val="0"/>
    </w:pPr>
    <w:rPr>
      <w:rFonts w:cs="Arial"/>
      <w:b/>
      <w:bCs/>
      <w:kern w:val="32"/>
      <w:sz w:val="50"/>
      <w:szCs w:val="32"/>
    </w:rPr>
  </w:style>
  <w:style w:type="paragraph" w:styleId="Nadpis3">
    <w:name w:val="heading 3"/>
    <w:aliases w:val="Podkap 3.3.3"/>
    <w:basedOn w:val="Normln"/>
    <w:next w:val="Normln"/>
    <w:link w:val="Nadpis3Char"/>
    <w:qFormat/>
    <w:rsid w:val="00857683"/>
    <w:pPr>
      <w:keepNext/>
      <w:spacing w:before="120" w:after="60"/>
      <w:outlineLvl w:val="2"/>
    </w:pPr>
    <w:rPr>
      <w:rFonts w:cs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857683"/>
    <w:rPr>
      <w:rFonts w:ascii="Times New Roman" w:eastAsia="Times New Roman" w:hAnsi="Times New Roman" w:cs="Arial"/>
      <w:b/>
      <w:bCs/>
      <w:kern w:val="32"/>
      <w:sz w:val="50"/>
      <w:szCs w:val="32"/>
    </w:rPr>
  </w:style>
  <w:style w:type="character" w:customStyle="1" w:styleId="Nadpis3Char">
    <w:name w:val="Nadpis 3 Char"/>
    <w:aliases w:val="Podkap 3.3.3 Char"/>
    <w:basedOn w:val="Standardnpsmoodstavce"/>
    <w:link w:val="Nadpis3"/>
    <w:rsid w:val="00857683"/>
    <w:rPr>
      <w:rFonts w:ascii="Times New Roman" w:eastAsia="Times New Roman" w:hAnsi="Times New Roman" w:cs="Arial"/>
      <w:b/>
      <w:bCs/>
      <w:sz w:val="28"/>
      <w:szCs w:val="26"/>
    </w:rPr>
  </w:style>
  <w:style w:type="character" w:styleId="Hypertextovodkaz">
    <w:name w:val="Hyperlink"/>
    <w:rsid w:val="00177E48"/>
    <w:rPr>
      <w:rFonts w:ascii="Times New Roman" w:hAnsi="Times New Roman"/>
      <w:b/>
      <w:color w:val="0000FF"/>
      <w:sz w:val="24"/>
      <w:u w:val="single"/>
    </w:rPr>
  </w:style>
  <w:style w:type="character" w:customStyle="1" w:styleId="NormlnKurzva">
    <w:name w:val="Normální Kurzíva"/>
    <w:rsid w:val="00177E48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A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8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5A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5A2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0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38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8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81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F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2828-C8FB-43BD-A7C5-F631628E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1644</Words>
  <Characters>9706</Characters>
  <Application>Microsoft Office Word</Application>
  <DocSecurity>8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4</cp:revision>
  <cp:lastPrinted>2019-04-24T08:51:00Z</cp:lastPrinted>
  <dcterms:created xsi:type="dcterms:W3CDTF">2019-08-29T12:17:00Z</dcterms:created>
  <dcterms:modified xsi:type="dcterms:W3CDTF">2019-08-29T12:23:00Z</dcterms:modified>
</cp:coreProperties>
</file>