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83" w:rsidRPr="007F1398" w:rsidRDefault="0072402C" w:rsidP="00857683">
      <w:pPr>
        <w:pStyle w:val="Nadpis1"/>
        <w:rPr>
          <w:rFonts w:ascii="Calibri" w:hAnsi="Calibri"/>
          <w:sz w:val="40"/>
          <w:szCs w:val="40"/>
        </w:rPr>
      </w:pPr>
      <w:r w:rsidRPr="007F1398">
        <w:rPr>
          <w:rFonts w:ascii="Calibri" w:hAnsi="Calibri"/>
          <w:sz w:val="40"/>
          <w:szCs w:val="40"/>
        </w:rPr>
        <w:t>Zpráva o h</w:t>
      </w:r>
      <w:r w:rsidR="00857683" w:rsidRPr="007F1398">
        <w:rPr>
          <w:rFonts w:ascii="Calibri" w:hAnsi="Calibri"/>
          <w:sz w:val="40"/>
          <w:szCs w:val="40"/>
        </w:rPr>
        <w:t>ospodaření</w:t>
      </w:r>
    </w:p>
    <w:p w:rsidR="00857683" w:rsidRPr="00BA3900" w:rsidRDefault="00BA3900" w:rsidP="00857683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HOSPODÁŘSKÝ VÝSLEDEK</w:t>
      </w:r>
    </w:p>
    <w:p w:rsidR="00BA3900" w:rsidRDefault="00C311C2" w:rsidP="00857683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 rok 2016</w:t>
      </w:r>
      <w:r w:rsidR="00857683" w:rsidRPr="003F01E8">
        <w:rPr>
          <w:rFonts w:ascii="Calibri" w:hAnsi="Calibri" w:cs="Arial"/>
          <w:sz w:val="20"/>
          <w:szCs w:val="20"/>
        </w:rPr>
        <w:t xml:space="preserve"> vykázala Fakulta sociálních věd celkový hospodářský výsledek ve výši </w:t>
      </w:r>
      <w:r>
        <w:rPr>
          <w:rFonts w:ascii="Calibri" w:hAnsi="Calibri" w:cs="Arial"/>
          <w:sz w:val="20"/>
          <w:szCs w:val="20"/>
        </w:rPr>
        <w:t>121 828</w:t>
      </w:r>
      <w:r w:rsidR="00857683" w:rsidRPr="003F01E8">
        <w:rPr>
          <w:rFonts w:ascii="Calibri" w:hAnsi="Calibri" w:cs="Arial"/>
          <w:sz w:val="20"/>
          <w:szCs w:val="20"/>
        </w:rPr>
        <w:t xml:space="preserve"> Kč</w:t>
      </w:r>
      <w:r>
        <w:rPr>
          <w:rFonts w:ascii="Calibri" w:hAnsi="Calibri" w:cs="Arial"/>
          <w:sz w:val="20"/>
          <w:szCs w:val="20"/>
        </w:rPr>
        <w:t xml:space="preserve">. </w:t>
      </w:r>
    </w:p>
    <w:p w:rsidR="00C311C2" w:rsidRDefault="00C311C2" w:rsidP="00857683">
      <w:pPr>
        <w:jc w:val="both"/>
        <w:rPr>
          <w:rFonts w:ascii="Calibri" w:hAnsi="Calibri" w:cs="Arial"/>
          <w:sz w:val="20"/>
          <w:szCs w:val="20"/>
        </w:rPr>
      </w:pPr>
    </w:p>
    <w:p w:rsidR="00BA3900" w:rsidRPr="00BA3900" w:rsidRDefault="007F1398" w:rsidP="00857683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PŘÍJMY</w:t>
      </w:r>
    </w:p>
    <w:p w:rsidR="0072402C" w:rsidRDefault="00267D66" w:rsidP="00857683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Celkové p</w:t>
      </w:r>
      <w:r w:rsidR="00857683" w:rsidRPr="003F01E8">
        <w:rPr>
          <w:rFonts w:ascii="Calibri" w:hAnsi="Calibri" w:cs="Arial"/>
          <w:sz w:val="20"/>
          <w:szCs w:val="20"/>
        </w:rPr>
        <w:t xml:space="preserve">říjmy ve vykazovaném období dosáhly </w:t>
      </w:r>
      <w:r w:rsidR="00C311C2">
        <w:rPr>
          <w:rFonts w:ascii="Calibri" w:hAnsi="Calibri" w:cs="Arial"/>
          <w:sz w:val="20"/>
          <w:szCs w:val="20"/>
        </w:rPr>
        <w:t>364 076 </w:t>
      </w:r>
      <w:r>
        <w:rPr>
          <w:rFonts w:ascii="Calibri" w:hAnsi="Calibri" w:cs="Arial"/>
          <w:sz w:val="20"/>
          <w:szCs w:val="20"/>
        </w:rPr>
        <w:t>tis.</w:t>
      </w:r>
      <w:r w:rsidR="00C311C2">
        <w:rPr>
          <w:rFonts w:ascii="Calibri" w:hAnsi="Calibri" w:cs="Arial"/>
          <w:sz w:val="20"/>
          <w:szCs w:val="20"/>
        </w:rPr>
        <w:t xml:space="preserve"> Kč.</w:t>
      </w:r>
      <w:r>
        <w:rPr>
          <w:rFonts w:ascii="Calibri" w:hAnsi="Calibri" w:cs="Arial"/>
          <w:sz w:val="20"/>
          <w:szCs w:val="20"/>
        </w:rPr>
        <w:t>, z toho v hlavní činnosti 358 316 tis. Kč.</w:t>
      </w:r>
      <w:r w:rsidR="00857683" w:rsidRPr="003F01E8">
        <w:rPr>
          <w:rFonts w:ascii="Calibri" w:hAnsi="Calibri" w:cs="Arial"/>
          <w:sz w:val="20"/>
          <w:szCs w:val="20"/>
        </w:rPr>
        <w:t xml:space="preserve"> </w:t>
      </w:r>
      <w:r w:rsidR="00A943A7">
        <w:rPr>
          <w:rFonts w:ascii="Calibri" w:hAnsi="Calibri" w:cs="Arial"/>
          <w:sz w:val="20"/>
          <w:szCs w:val="20"/>
        </w:rPr>
        <w:t xml:space="preserve">Absolutně nejvýznamnější položkou jsou příspěvky a dotace poskytnuté z veřejných prostředků, jejich podíl na celkových </w:t>
      </w:r>
      <w:r w:rsidR="00A943A7" w:rsidRPr="009501E4">
        <w:rPr>
          <w:rFonts w:ascii="Calibri" w:hAnsi="Calibri" w:cs="Arial"/>
          <w:sz w:val="20"/>
          <w:szCs w:val="20"/>
        </w:rPr>
        <w:t xml:space="preserve">příjmech </w:t>
      </w:r>
      <w:proofErr w:type="gramStart"/>
      <w:r w:rsidR="00A943A7" w:rsidRPr="009501E4">
        <w:rPr>
          <w:rFonts w:ascii="Calibri" w:hAnsi="Calibri" w:cs="Arial"/>
          <w:sz w:val="20"/>
          <w:szCs w:val="20"/>
        </w:rPr>
        <w:t xml:space="preserve">činí </w:t>
      </w:r>
      <w:r w:rsidR="00C311C2" w:rsidRPr="009501E4">
        <w:rPr>
          <w:rFonts w:ascii="Calibri" w:hAnsi="Calibri" w:cs="Arial"/>
          <w:sz w:val="20"/>
          <w:szCs w:val="20"/>
        </w:rPr>
        <w:t xml:space="preserve"> </w:t>
      </w:r>
      <w:r w:rsidRPr="009501E4">
        <w:rPr>
          <w:rFonts w:ascii="Calibri" w:hAnsi="Calibri" w:cs="Arial"/>
          <w:sz w:val="20"/>
          <w:szCs w:val="20"/>
        </w:rPr>
        <w:t>74</w:t>
      </w:r>
      <w:proofErr w:type="gramEnd"/>
      <w:r w:rsidR="00C311C2" w:rsidRPr="009501E4">
        <w:rPr>
          <w:rFonts w:ascii="Calibri" w:hAnsi="Calibri" w:cs="Arial"/>
          <w:sz w:val="20"/>
          <w:szCs w:val="20"/>
        </w:rPr>
        <w:t xml:space="preserve"> </w:t>
      </w:r>
      <w:r w:rsidR="00A943A7" w:rsidRPr="009501E4">
        <w:rPr>
          <w:rFonts w:ascii="Calibri" w:hAnsi="Calibri" w:cs="Arial"/>
          <w:sz w:val="20"/>
          <w:szCs w:val="20"/>
        </w:rPr>
        <w:t>%.</w:t>
      </w:r>
      <w:r w:rsidR="00A943A7">
        <w:rPr>
          <w:rFonts w:ascii="Calibri" w:hAnsi="Calibri" w:cs="Arial"/>
          <w:sz w:val="20"/>
          <w:szCs w:val="20"/>
        </w:rPr>
        <w:t xml:space="preserve"> Vlastní příjmy fakulty jsou tvořeny zejména poplatky </w:t>
      </w:r>
      <w:r w:rsidR="009F56FB">
        <w:rPr>
          <w:rFonts w:ascii="Calibri" w:hAnsi="Calibri" w:cs="Arial"/>
          <w:sz w:val="20"/>
          <w:szCs w:val="20"/>
        </w:rPr>
        <w:t xml:space="preserve">od zahraničních studentů za výuku v cizojazyčných programech a za studijní pobyty </w:t>
      </w:r>
      <w:r w:rsidR="00A943A7">
        <w:rPr>
          <w:rFonts w:ascii="Calibri" w:hAnsi="Calibri" w:cs="Arial"/>
          <w:sz w:val="20"/>
          <w:szCs w:val="20"/>
        </w:rPr>
        <w:t xml:space="preserve">ve výši 25 693 tis. </w:t>
      </w:r>
      <w:r w:rsidR="009F56FB">
        <w:rPr>
          <w:rFonts w:ascii="Calibri" w:hAnsi="Calibri" w:cs="Arial"/>
          <w:sz w:val="20"/>
          <w:szCs w:val="20"/>
        </w:rPr>
        <w:t>Dalšími významnými vlastními zdroji příjmů jsou příjmy za přijímací řízení ve výši 9 150 tis.</w:t>
      </w:r>
    </w:p>
    <w:p w:rsidR="009F56FB" w:rsidRDefault="009F56FB" w:rsidP="00857683">
      <w:pPr>
        <w:jc w:val="both"/>
        <w:rPr>
          <w:rFonts w:ascii="Calibri" w:hAnsi="Calibri" w:cs="Arial"/>
          <w:sz w:val="22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992"/>
      </w:tblGrid>
      <w:tr w:rsidR="0072402C" w:rsidRPr="0072402C" w:rsidTr="003F01E8">
        <w:trPr>
          <w:trHeight w:val="6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F01E8" w:rsidRPr="0072402C" w:rsidRDefault="0072402C" w:rsidP="00267D66">
            <w:pPr>
              <w:jc w:val="center"/>
              <w:rPr>
                <w:rFonts w:asciiTheme="minorHAnsi" w:hAnsiTheme="minorHAnsi"/>
                <w:bCs/>
                <w:color w:val="000000"/>
                <w:sz w:val="12"/>
                <w:szCs w:val="12"/>
                <w:lang w:eastAsia="cs-CZ"/>
              </w:rPr>
            </w:pPr>
            <w:r w:rsidRPr="0072402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cs-CZ"/>
              </w:rPr>
              <w:t>Struktura příjmů fakulty</w:t>
            </w:r>
            <w:r w:rsidR="009501E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v hlavní činnosti</w:t>
            </w:r>
            <w:r w:rsidRPr="0072402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za rok 201</w:t>
            </w:r>
            <w:r w:rsidR="00267D66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  <w:r w:rsidR="003F01E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F01E8" w:rsidRPr="003F01E8">
              <w:rPr>
                <w:rFonts w:asciiTheme="minorHAnsi" w:hAnsiTheme="minorHAnsi"/>
                <w:bCs/>
                <w:color w:val="000000"/>
                <w:sz w:val="12"/>
                <w:szCs w:val="12"/>
                <w:lang w:eastAsia="cs-CZ"/>
              </w:rPr>
              <w:t>(v tis.</w:t>
            </w:r>
            <w:r w:rsidR="00230C50">
              <w:rPr>
                <w:rFonts w:asciiTheme="minorHAnsi" w:hAnsiTheme="minorHAnsi"/>
                <w:bCs/>
                <w:color w:val="000000"/>
                <w:sz w:val="12"/>
                <w:szCs w:val="12"/>
                <w:lang w:eastAsia="cs-CZ"/>
              </w:rPr>
              <w:t xml:space="preserve"> Kč</w:t>
            </w:r>
            <w:r w:rsidR="003F01E8" w:rsidRPr="003F01E8">
              <w:rPr>
                <w:rFonts w:asciiTheme="minorHAnsi" w:hAnsiTheme="minorHAnsi"/>
                <w:bCs/>
                <w:color w:val="000000"/>
                <w:sz w:val="12"/>
                <w:szCs w:val="12"/>
                <w:lang w:eastAsia="cs-CZ"/>
              </w:rPr>
              <w:t>)</w:t>
            </w:r>
          </w:p>
        </w:tc>
      </w:tr>
      <w:tr w:rsidR="0072402C" w:rsidRPr="0072402C" w:rsidTr="003875A3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Dotace + příspěvek (rozpočtové i mimorozpočtové)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2C" w:rsidRPr="0072402C" w:rsidRDefault="00267D66" w:rsidP="007F1398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269 186</w:t>
            </w:r>
          </w:p>
        </w:tc>
      </w:tr>
      <w:tr w:rsidR="0072402C" w:rsidRPr="0072402C" w:rsidTr="003875A3">
        <w:trPr>
          <w:trHeight w:val="6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72402C" w:rsidRPr="0072402C" w:rsidRDefault="0072402C" w:rsidP="0072402C">
            <w:pPr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Poplatky (zahraniční studenti, nadstandardní doba studia, přijímací řízení)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2402C" w:rsidRPr="0072402C" w:rsidRDefault="009501E4" w:rsidP="007F1398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48 204</w:t>
            </w:r>
          </w:p>
        </w:tc>
      </w:tr>
      <w:tr w:rsidR="0072402C" w:rsidRPr="0072402C" w:rsidTr="003875A3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Zúčtování fondů (účelových prostředků, stipendijní a sociální)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2C" w:rsidRPr="0072402C" w:rsidRDefault="009501E4" w:rsidP="007F1398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21 043</w:t>
            </w:r>
          </w:p>
        </w:tc>
      </w:tr>
      <w:tr w:rsidR="0072402C" w:rsidRPr="0072402C" w:rsidTr="003875A3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72402C" w:rsidRPr="0072402C" w:rsidRDefault="0072402C" w:rsidP="0072402C">
            <w:pPr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2402C" w:rsidRPr="0072402C" w:rsidRDefault="009501E4" w:rsidP="007F1398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19 883</w:t>
            </w:r>
          </w:p>
        </w:tc>
      </w:tr>
    </w:tbl>
    <w:p w:rsidR="0072402C" w:rsidRDefault="0072402C" w:rsidP="00857683">
      <w:pPr>
        <w:jc w:val="both"/>
        <w:rPr>
          <w:rFonts w:ascii="Calibri" w:hAnsi="Calibri" w:cs="Arial"/>
          <w:sz w:val="22"/>
        </w:rPr>
      </w:pPr>
    </w:p>
    <w:p w:rsidR="0072402C" w:rsidRPr="00D23F04" w:rsidRDefault="0072402C" w:rsidP="00857683">
      <w:pPr>
        <w:jc w:val="both"/>
        <w:rPr>
          <w:rFonts w:ascii="Calibri" w:hAnsi="Calibri" w:cs="Arial"/>
          <w:sz w:val="22"/>
        </w:rPr>
      </w:pPr>
    </w:p>
    <w:p w:rsidR="00BA3900" w:rsidRPr="00BA3900" w:rsidRDefault="00BA3900" w:rsidP="00857683">
      <w:pPr>
        <w:jc w:val="both"/>
        <w:rPr>
          <w:rFonts w:ascii="Calibri" w:hAnsi="Calibri" w:cs="Arial"/>
          <w:b/>
          <w:sz w:val="20"/>
          <w:szCs w:val="20"/>
        </w:rPr>
      </w:pPr>
      <w:r w:rsidRPr="00BA3900">
        <w:rPr>
          <w:rFonts w:ascii="Calibri" w:hAnsi="Calibri" w:cs="Arial"/>
          <w:b/>
          <w:sz w:val="20"/>
          <w:szCs w:val="20"/>
        </w:rPr>
        <w:t>NÁKLADY</w:t>
      </w:r>
    </w:p>
    <w:p w:rsidR="00857683" w:rsidRDefault="00857683" w:rsidP="00857683">
      <w:pPr>
        <w:jc w:val="both"/>
        <w:rPr>
          <w:rFonts w:ascii="Calibri" w:hAnsi="Calibri" w:cs="Arial"/>
          <w:sz w:val="20"/>
          <w:szCs w:val="20"/>
        </w:rPr>
      </w:pPr>
      <w:r w:rsidRPr="003F01E8">
        <w:rPr>
          <w:rFonts w:ascii="Calibri" w:hAnsi="Calibri" w:cs="Arial"/>
          <w:sz w:val="20"/>
          <w:szCs w:val="20"/>
        </w:rPr>
        <w:t>Celkové náklady dosáhly v roce 201</w:t>
      </w:r>
      <w:r w:rsidR="00C311C2">
        <w:rPr>
          <w:rFonts w:ascii="Calibri" w:hAnsi="Calibri" w:cs="Arial"/>
          <w:sz w:val="20"/>
          <w:szCs w:val="20"/>
        </w:rPr>
        <w:t>6</w:t>
      </w:r>
      <w:r w:rsidRPr="003F01E8">
        <w:rPr>
          <w:rFonts w:ascii="Calibri" w:hAnsi="Calibri" w:cs="Arial"/>
          <w:sz w:val="20"/>
          <w:szCs w:val="20"/>
        </w:rPr>
        <w:t xml:space="preserve"> výše </w:t>
      </w:r>
      <w:r w:rsidR="00C311C2">
        <w:rPr>
          <w:rFonts w:ascii="Calibri" w:hAnsi="Calibri" w:cs="Arial"/>
          <w:sz w:val="20"/>
          <w:szCs w:val="20"/>
        </w:rPr>
        <w:t>363 954 522 Kč</w:t>
      </w:r>
      <w:r w:rsidR="00267D66">
        <w:rPr>
          <w:rFonts w:ascii="Calibri" w:hAnsi="Calibri" w:cs="Arial"/>
          <w:sz w:val="20"/>
          <w:szCs w:val="20"/>
        </w:rPr>
        <w:t xml:space="preserve">, z toho v hlavní činnosti 357 933 tis. Kč. </w:t>
      </w:r>
      <w:r w:rsidRPr="003F01E8">
        <w:rPr>
          <w:rFonts w:ascii="Calibri" w:hAnsi="Calibri" w:cs="Arial"/>
          <w:sz w:val="20"/>
          <w:szCs w:val="20"/>
        </w:rPr>
        <w:t xml:space="preserve"> </w:t>
      </w:r>
      <w:r w:rsidR="00267D66">
        <w:rPr>
          <w:rFonts w:ascii="Calibri" w:hAnsi="Calibri" w:cs="Arial"/>
          <w:sz w:val="20"/>
          <w:szCs w:val="20"/>
        </w:rPr>
        <w:t>M</w:t>
      </w:r>
      <w:r w:rsidRPr="003F01E8">
        <w:rPr>
          <w:rFonts w:ascii="Calibri" w:hAnsi="Calibri" w:cs="Arial"/>
          <w:sz w:val="20"/>
          <w:szCs w:val="20"/>
        </w:rPr>
        <w:t xml:space="preserve">eziročně tak </w:t>
      </w:r>
      <w:r w:rsidR="00C311C2">
        <w:rPr>
          <w:rFonts w:ascii="Calibri" w:hAnsi="Calibri" w:cs="Arial"/>
          <w:sz w:val="20"/>
          <w:szCs w:val="20"/>
        </w:rPr>
        <w:t>vzrostly</w:t>
      </w:r>
      <w:r w:rsidRPr="003F01E8">
        <w:rPr>
          <w:rFonts w:ascii="Calibri" w:hAnsi="Calibri" w:cs="Arial"/>
          <w:sz w:val="20"/>
          <w:szCs w:val="20"/>
        </w:rPr>
        <w:t xml:space="preserve"> o </w:t>
      </w:r>
      <w:r w:rsidR="00C311C2">
        <w:rPr>
          <w:rFonts w:ascii="Calibri" w:hAnsi="Calibri" w:cs="Arial"/>
          <w:sz w:val="20"/>
          <w:szCs w:val="20"/>
        </w:rPr>
        <w:t xml:space="preserve">5,9 </w:t>
      </w:r>
      <w:r w:rsidRPr="003F01E8">
        <w:rPr>
          <w:rFonts w:ascii="Calibri" w:hAnsi="Calibri" w:cs="Arial"/>
          <w:sz w:val="20"/>
          <w:szCs w:val="20"/>
        </w:rPr>
        <w:t xml:space="preserve">%. Nejvýznamnější nákladovou položkou jsou již dlouhodobě osobní náklady, které ve sledovaném období činily </w:t>
      </w:r>
      <w:r w:rsidR="00267D66">
        <w:rPr>
          <w:rFonts w:ascii="Calibri" w:hAnsi="Calibri" w:cs="Arial"/>
          <w:sz w:val="20"/>
          <w:szCs w:val="20"/>
        </w:rPr>
        <w:t>v hlavní činnosti 222 114</w:t>
      </w:r>
      <w:r w:rsidR="00C311C2">
        <w:rPr>
          <w:rFonts w:ascii="Calibri" w:hAnsi="Calibri" w:cs="Arial"/>
          <w:sz w:val="20"/>
          <w:szCs w:val="20"/>
        </w:rPr>
        <w:t xml:space="preserve"> tis.</w:t>
      </w:r>
      <w:r w:rsidRPr="003F01E8">
        <w:rPr>
          <w:rFonts w:ascii="Calibri" w:hAnsi="Calibri" w:cs="Arial"/>
          <w:sz w:val="20"/>
          <w:szCs w:val="20"/>
        </w:rPr>
        <w:t xml:space="preserve"> Kč s</w:t>
      </w:r>
      <w:r w:rsidR="00267D66">
        <w:rPr>
          <w:rFonts w:ascii="Calibri" w:hAnsi="Calibri" w:cs="Arial"/>
          <w:sz w:val="20"/>
          <w:szCs w:val="20"/>
        </w:rPr>
        <w:t> P</w:t>
      </w:r>
      <w:r w:rsidRPr="003F01E8">
        <w:rPr>
          <w:rFonts w:ascii="Calibri" w:hAnsi="Calibri" w:cs="Arial"/>
          <w:sz w:val="20"/>
          <w:szCs w:val="20"/>
        </w:rPr>
        <w:t>odíl</w:t>
      </w:r>
      <w:r w:rsidR="00267D66">
        <w:rPr>
          <w:rFonts w:ascii="Calibri" w:hAnsi="Calibri" w:cs="Arial"/>
          <w:sz w:val="20"/>
          <w:szCs w:val="20"/>
        </w:rPr>
        <w:t xml:space="preserve"> mezd</w:t>
      </w:r>
      <w:r w:rsidRPr="003F01E8">
        <w:rPr>
          <w:rFonts w:ascii="Calibri" w:hAnsi="Calibri" w:cs="Arial"/>
          <w:sz w:val="20"/>
          <w:szCs w:val="20"/>
        </w:rPr>
        <w:t xml:space="preserve"> </w:t>
      </w:r>
      <w:r w:rsidR="00267D66">
        <w:rPr>
          <w:rFonts w:ascii="Calibri" w:hAnsi="Calibri" w:cs="Arial"/>
          <w:sz w:val="20"/>
          <w:szCs w:val="20"/>
        </w:rPr>
        <w:t xml:space="preserve">je </w:t>
      </w:r>
      <w:r w:rsidRPr="003F01E8">
        <w:rPr>
          <w:rFonts w:ascii="Calibri" w:hAnsi="Calibri" w:cs="Arial"/>
          <w:sz w:val="20"/>
          <w:szCs w:val="20"/>
        </w:rPr>
        <w:t>6</w:t>
      </w:r>
      <w:r w:rsidR="00267D66">
        <w:rPr>
          <w:rFonts w:ascii="Calibri" w:hAnsi="Calibri" w:cs="Arial"/>
          <w:sz w:val="20"/>
          <w:szCs w:val="20"/>
        </w:rPr>
        <w:t>2</w:t>
      </w:r>
      <w:r w:rsidRPr="003F01E8">
        <w:rPr>
          <w:rFonts w:ascii="Calibri" w:hAnsi="Calibri" w:cs="Arial"/>
          <w:sz w:val="20"/>
          <w:szCs w:val="20"/>
        </w:rPr>
        <w:t>% na celkových nákladech</w:t>
      </w:r>
      <w:r w:rsidR="00267D66">
        <w:rPr>
          <w:rFonts w:ascii="Calibri" w:hAnsi="Calibri" w:cs="Arial"/>
          <w:sz w:val="20"/>
          <w:szCs w:val="20"/>
        </w:rPr>
        <w:t xml:space="preserve"> v hlavní činnosti</w:t>
      </w:r>
      <w:r w:rsidRPr="003F01E8">
        <w:rPr>
          <w:rFonts w:ascii="Calibri" w:hAnsi="Calibri" w:cs="Arial"/>
          <w:sz w:val="20"/>
          <w:szCs w:val="20"/>
        </w:rPr>
        <w:t xml:space="preserve">. </w:t>
      </w:r>
    </w:p>
    <w:p w:rsidR="003F01E8" w:rsidRDefault="003F01E8" w:rsidP="00857683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940"/>
      </w:tblGrid>
      <w:tr w:rsidR="003F01E8" w:rsidRPr="003F01E8" w:rsidTr="003F01E8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F01E8" w:rsidRPr="003F01E8" w:rsidRDefault="003F01E8" w:rsidP="003F01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72A6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  <w:t>Struk</w:t>
            </w:r>
            <w:r w:rsidR="00872A6E" w:rsidRPr="00872A6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  <w:t>tura nákladů v hlavní činnosti fakulty za rok 2016</w:t>
            </w:r>
            <w:r w:rsidRPr="003F01E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3F01E8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(v tis.</w:t>
            </w:r>
            <w:r w:rsidR="00230C50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 xml:space="preserve"> Kč</w:t>
            </w:r>
            <w:r w:rsidRPr="003F01E8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)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Mzdy včetně sociálních nákladů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E8" w:rsidRPr="003F01E8" w:rsidRDefault="00872A6E" w:rsidP="007F1398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222 114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Materiál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F01E8" w:rsidRPr="003F01E8" w:rsidRDefault="003F01E8" w:rsidP="00872A6E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7 </w:t>
            </w:r>
            <w:r w:rsidR="00872A6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081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Stipendia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E8" w:rsidRPr="00872A6E" w:rsidRDefault="00872A6E" w:rsidP="007F1398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872A6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53 755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Služby vč. Energií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F01E8" w:rsidRPr="003F01E8" w:rsidRDefault="00872A6E" w:rsidP="007F1398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32 081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Opravy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E8" w:rsidRPr="003F01E8" w:rsidRDefault="00872A6E" w:rsidP="007F1398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1 858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Odpisy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F01E8" w:rsidRPr="003F01E8" w:rsidRDefault="00872A6E" w:rsidP="007F1398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8 632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E8" w:rsidRPr="003F01E8" w:rsidRDefault="00872A6E" w:rsidP="007F1398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7 745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F01E8" w:rsidRPr="003F01E8" w:rsidRDefault="003F01E8" w:rsidP="00872A6E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24 </w:t>
            </w:r>
            <w:r w:rsidR="00872A6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667</w:t>
            </w:r>
          </w:p>
        </w:tc>
      </w:tr>
    </w:tbl>
    <w:p w:rsidR="003F01E8" w:rsidRDefault="003F01E8" w:rsidP="00857683">
      <w:pPr>
        <w:jc w:val="both"/>
        <w:rPr>
          <w:rFonts w:ascii="Calibri" w:hAnsi="Calibri" w:cs="Arial"/>
          <w:sz w:val="20"/>
          <w:szCs w:val="20"/>
        </w:rPr>
      </w:pPr>
    </w:p>
    <w:p w:rsidR="00177E48" w:rsidRDefault="00177E48" w:rsidP="00376B4C">
      <w:pPr>
        <w:jc w:val="both"/>
        <w:rPr>
          <w:rFonts w:ascii="Calibri" w:hAnsi="Calibri" w:cs="Arial"/>
          <w:b/>
          <w:sz w:val="20"/>
          <w:szCs w:val="20"/>
        </w:rPr>
      </w:pPr>
    </w:p>
    <w:p w:rsidR="00177E48" w:rsidRPr="00891ED3" w:rsidRDefault="00177E48" w:rsidP="00376B4C">
      <w:pPr>
        <w:jc w:val="both"/>
        <w:rPr>
          <w:rFonts w:ascii="Calibri" w:hAnsi="Calibri" w:cs="Arial"/>
          <w:b/>
          <w:sz w:val="20"/>
          <w:szCs w:val="20"/>
        </w:rPr>
      </w:pPr>
      <w:r w:rsidRPr="00891ED3">
        <w:rPr>
          <w:rFonts w:ascii="Calibri" w:hAnsi="Calibri" w:cs="Arial"/>
          <w:b/>
          <w:sz w:val="20"/>
          <w:szCs w:val="20"/>
        </w:rPr>
        <w:t>PROJEKTY PODPORUJÍCÍ ROZVOJ VZDĚLÁVÁNÍ NA FSV UK A ROZVOJOVÉ PROGRAMY</w:t>
      </w:r>
    </w:p>
    <w:p w:rsidR="00891ED3" w:rsidRPr="00E953B2" w:rsidRDefault="00891ED3" w:rsidP="00376B4C">
      <w:pPr>
        <w:jc w:val="both"/>
        <w:rPr>
          <w:rFonts w:ascii="Calibri" w:hAnsi="Calibri" w:cs="Arial"/>
          <w:b/>
          <w:sz w:val="20"/>
          <w:szCs w:val="20"/>
          <w:highlight w:val="yellow"/>
        </w:rPr>
      </w:pPr>
    </w:p>
    <w:p w:rsidR="00891ED3" w:rsidRPr="00891ED3" w:rsidRDefault="00891ED3" w:rsidP="00376B4C">
      <w:pPr>
        <w:jc w:val="both"/>
        <w:rPr>
          <w:rFonts w:asciiTheme="minorHAnsi" w:hAnsiTheme="minorHAnsi" w:cs="Arial"/>
          <w:sz w:val="20"/>
          <w:szCs w:val="20"/>
        </w:rPr>
      </w:pPr>
      <w:r w:rsidRPr="00891ED3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V roce 2016 realizovala Fakulta sociálních věd celkem 7 aktivit v rámci institucionálního plánu, který je nově koncipován jako tříletý, tedy na období 2016-2018. Celkový rozpočet IP FSV činil 4,82 milionu korun. Projektové aktivity se zaměřily na podporu internacionalizace, studentské mobility, podporu cizojazyčných programů, realizaci kurzů univerzity 3. věku, vytvoření fakultního systému podpory nadějných </w:t>
      </w:r>
      <w:proofErr w:type="spellStart"/>
      <w:r w:rsidRPr="00891ED3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postdoktorandů</w:t>
      </w:r>
      <w:proofErr w:type="spellEnd"/>
      <w:r w:rsidRPr="00891ED3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, pořízení elektronických zdrojů a podporu digitalizace a </w:t>
      </w:r>
      <w:proofErr w:type="spellStart"/>
      <w:r w:rsidRPr="00891ED3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retrokatalogizace</w:t>
      </w:r>
      <w:proofErr w:type="spellEnd"/>
      <w:r w:rsidRPr="00891ED3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. Současně s tím bylo uskutečněno 5 projektů inovace kurzů, členěných podle studijních programů a spravovaných fakultními instituty.  Celkově byla na podporu inovace kurzů využita částka 1,75 milionu korun. Na podporu vzdělávání byly zaměřeny i projekty podané na přelomu srpna a září 2016 do výzev 15, 16, 17 a 18 OPVVV. Nejvýznamnějším z těchto projektů je záměr rekonstrukce a dobudování areálu UK v Jinonicích, který byl podán s rozpočtem 872,5 milionu korun.</w:t>
      </w:r>
    </w:p>
    <w:p w:rsidR="002F646B" w:rsidRDefault="002F646B" w:rsidP="00376B4C">
      <w:pPr>
        <w:jc w:val="both"/>
        <w:rPr>
          <w:rFonts w:ascii="Calibri" w:hAnsi="Calibri" w:cs="Arial"/>
          <w:sz w:val="20"/>
          <w:szCs w:val="20"/>
        </w:rPr>
      </w:pPr>
    </w:p>
    <w:p w:rsidR="002F646B" w:rsidRDefault="002F646B" w:rsidP="00376B4C">
      <w:pPr>
        <w:jc w:val="both"/>
        <w:rPr>
          <w:rFonts w:ascii="Calibri" w:hAnsi="Calibri" w:cs="Arial"/>
          <w:sz w:val="20"/>
          <w:szCs w:val="20"/>
        </w:rPr>
      </w:pPr>
    </w:p>
    <w:p w:rsidR="00177E48" w:rsidRDefault="00177E48" w:rsidP="00177E48">
      <w:pPr>
        <w:jc w:val="both"/>
        <w:rPr>
          <w:rFonts w:ascii="Calibri" w:hAnsi="Calibri" w:cs="Arial"/>
          <w:b/>
          <w:sz w:val="20"/>
          <w:szCs w:val="20"/>
        </w:rPr>
      </w:pPr>
    </w:p>
    <w:p w:rsidR="00177E48" w:rsidRPr="00E953B2" w:rsidRDefault="00177E48" w:rsidP="00177E48">
      <w:pPr>
        <w:jc w:val="both"/>
        <w:rPr>
          <w:rFonts w:ascii="Calibri" w:hAnsi="Calibri" w:cs="Arial"/>
          <w:b/>
          <w:sz w:val="20"/>
          <w:szCs w:val="20"/>
          <w:highlight w:val="yellow"/>
        </w:rPr>
      </w:pPr>
      <w:r w:rsidRPr="00E953B2">
        <w:rPr>
          <w:rFonts w:ascii="Calibri" w:hAnsi="Calibri" w:cs="Arial"/>
          <w:b/>
          <w:sz w:val="20"/>
          <w:szCs w:val="20"/>
          <w:highlight w:val="yellow"/>
        </w:rPr>
        <w:lastRenderedPageBreak/>
        <w:t>VÝZKUMNÉ A GRANTOVÉ PROJEKTY</w:t>
      </w:r>
    </w:p>
    <w:p w:rsidR="00177E48" w:rsidRPr="00E953B2" w:rsidRDefault="00177E48" w:rsidP="00177E48">
      <w:pPr>
        <w:jc w:val="both"/>
        <w:rPr>
          <w:rFonts w:ascii="Calibri" w:hAnsi="Calibri" w:cs="Arial"/>
          <w:sz w:val="20"/>
          <w:szCs w:val="20"/>
          <w:highlight w:val="yellow"/>
        </w:rPr>
      </w:pPr>
      <w:r w:rsidRPr="00E953B2">
        <w:rPr>
          <w:rFonts w:ascii="Calibri" w:hAnsi="Calibri" w:cs="Arial"/>
          <w:sz w:val="20"/>
          <w:szCs w:val="20"/>
          <w:highlight w:val="yellow"/>
        </w:rPr>
        <w:t xml:space="preserve">Vědecké a výzkumné aktivity Fakulty sociálních věd zahrnovaly práce na dalším řešení Programů rozvoje vědních oblastí na Univerzitě Karlově v Praze P17 </w:t>
      </w:r>
      <w:hyperlink r:id="rId8" w:history="1">
        <w:r w:rsidRPr="00E953B2">
          <w:rPr>
            <w:rFonts w:ascii="Calibri" w:hAnsi="Calibri" w:cs="Arial"/>
            <w:sz w:val="20"/>
            <w:szCs w:val="20"/>
            <w:highlight w:val="yellow"/>
          </w:rPr>
          <w:t>Vědy o společnosti, politice a médiích ve výzvách doby</w:t>
        </w:r>
      </w:hyperlink>
      <w:r w:rsidRPr="00E953B2">
        <w:rPr>
          <w:rFonts w:ascii="Calibri" w:hAnsi="Calibri" w:cs="Arial"/>
          <w:sz w:val="20"/>
          <w:szCs w:val="20"/>
          <w:highlight w:val="yellow"/>
        </w:rPr>
        <w:t xml:space="preserve"> a P23 </w:t>
      </w:r>
      <w:hyperlink r:id="rId9" w:history="1">
        <w:r w:rsidRPr="00E953B2">
          <w:rPr>
            <w:rFonts w:ascii="Calibri" w:hAnsi="Calibri" w:cs="Arial"/>
            <w:sz w:val="20"/>
            <w:szCs w:val="20"/>
            <w:highlight w:val="yellow"/>
          </w:rPr>
          <w:t>Ekonomie a finance</w:t>
        </w:r>
      </w:hyperlink>
      <w:r w:rsidRPr="00E953B2">
        <w:rPr>
          <w:rFonts w:ascii="Calibri" w:hAnsi="Calibri" w:cs="Arial"/>
          <w:sz w:val="20"/>
          <w:szCs w:val="20"/>
          <w:highlight w:val="yellow"/>
        </w:rPr>
        <w:t>.</w:t>
      </w:r>
      <w:r w:rsidR="00080B63" w:rsidRPr="00E953B2">
        <w:rPr>
          <w:rFonts w:ascii="Calibri" w:hAnsi="Calibri" w:cs="Arial"/>
          <w:sz w:val="20"/>
          <w:szCs w:val="20"/>
          <w:highlight w:val="yellow"/>
        </w:rPr>
        <w:t xml:space="preserve"> Celkem bylo</w:t>
      </w:r>
      <w:r w:rsidR="00575B30" w:rsidRPr="00E953B2">
        <w:rPr>
          <w:rFonts w:ascii="Calibri" w:hAnsi="Calibri" w:cs="Arial"/>
          <w:sz w:val="20"/>
          <w:szCs w:val="20"/>
          <w:highlight w:val="yellow"/>
        </w:rPr>
        <w:t xml:space="preserve"> řešen</w:t>
      </w:r>
      <w:r w:rsidR="00080B63" w:rsidRPr="00E953B2">
        <w:rPr>
          <w:rFonts w:ascii="Calibri" w:hAnsi="Calibri" w:cs="Arial"/>
          <w:sz w:val="20"/>
          <w:szCs w:val="20"/>
          <w:highlight w:val="yellow"/>
        </w:rPr>
        <w:t>o</w:t>
      </w:r>
      <w:r w:rsidR="00575B30" w:rsidRPr="00E953B2">
        <w:rPr>
          <w:rFonts w:ascii="Calibri" w:hAnsi="Calibri" w:cs="Arial"/>
          <w:sz w:val="20"/>
          <w:szCs w:val="20"/>
          <w:highlight w:val="yellow"/>
        </w:rPr>
        <w:t xml:space="preserve"> </w:t>
      </w:r>
      <w:r w:rsidR="00080B63" w:rsidRPr="00E953B2">
        <w:rPr>
          <w:rFonts w:ascii="Calibri" w:hAnsi="Calibri" w:cs="Arial"/>
          <w:sz w:val="20"/>
          <w:szCs w:val="20"/>
          <w:highlight w:val="yellow"/>
        </w:rPr>
        <w:t>5</w:t>
      </w:r>
      <w:r w:rsidR="00575B30" w:rsidRPr="00E953B2">
        <w:rPr>
          <w:rFonts w:ascii="Calibri" w:hAnsi="Calibri" w:cs="Arial"/>
          <w:sz w:val="20"/>
          <w:szCs w:val="20"/>
          <w:highlight w:val="yellow"/>
        </w:rPr>
        <w:t xml:space="preserve"> projekt</w:t>
      </w:r>
      <w:r w:rsidR="00080B63" w:rsidRPr="00E953B2">
        <w:rPr>
          <w:rFonts w:ascii="Calibri" w:hAnsi="Calibri" w:cs="Arial"/>
          <w:sz w:val="20"/>
          <w:szCs w:val="20"/>
          <w:highlight w:val="yellow"/>
        </w:rPr>
        <w:t>ů</w:t>
      </w:r>
      <w:r w:rsidR="00575B30" w:rsidRPr="00E953B2">
        <w:rPr>
          <w:rFonts w:ascii="Calibri" w:hAnsi="Calibri" w:cs="Arial"/>
          <w:sz w:val="20"/>
          <w:szCs w:val="20"/>
          <w:highlight w:val="yellow"/>
        </w:rPr>
        <w:t xml:space="preserve">. Dotace na PRVOUK </w:t>
      </w:r>
      <w:r w:rsidR="00D35A72" w:rsidRPr="00E953B2">
        <w:rPr>
          <w:rFonts w:ascii="Calibri" w:hAnsi="Calibri" w:cs="Arial"/>
          <w:sz w:val="20"/>
          <w:szCs w:val="20"/>
          <w:highlight w:val="yellow"/>
        </w:rPr>
        <w:t xml:space="preserve">ve výši 33 108 tis. Kč </w:t>
      </w:r>
      <w:r w:rsidR="00575B30" w:rsidRPr="00E953B2">
        <w:rPr>
          <w:rFonts w:ascii="Calibri" w:hAnsi="Calibri" w:cs="Arial"/>
          <w:sz w:val="20"/>
          <w:szCs w:val="20"/>
          <w:highlight w:val="yellow"/>
        </w:rPr>
        <w:t xml:space="preserve">představuje 9,6% z celkového objemu </w:t>
      </w:r>
      <w:r w:rsidR="00D35A72" w:rsidRPr="00E953B2">
        <w:rPr>
          <w:rFonts w:ascii="Calibri" w:hAnsi="Calibri" w:cs="Arial"/>
          <w:sz w:val="20"/>
          <w:szCs w:val="20"/>
          <w:highlight w:val="yellow"/>
        </w:rPr>
        <w:t xml:space="preserve">příjmových </w:t>
      </w:r>
      <w:r w:rsidR="00575B30" w:rsidRPr="00E953B2">
        <w:rPr>
          <w:rFonts w:ascii="Calibri" w:hAnsi="Calibri" w:cs="Arial"/>
          <w:sz w:val="20"/>
          <w:szCs w:val="20"/>
          <w:highlight w:val="yellow"/>
        </w:rPr>
        <w:t xml:space="preserve">finančních prostředků. </w:t>
      </w:r>
      <w:r w:rsidR="00D35A72" w:rsidRPr="00E953B2">
        <w:rPr>
          <w:rFonts w:ascii="Calibri" w:hAnsi="Calibri" w:cs="Arial"/>
          <w:sz w:val="20"/>
          <w:szCs w:val="20"/>
          <w:highlight w:val="yellow"/>
        </w:rPr>
        <w:t xml:space="preserve">V roce 2015 bylo na fakultě realizováno 5 projektů specifického vysokoškolského výzkumu (SVV). Na projekty SVV bylo poskytnuto </w:t>
      </w:r>
      <w:r w:rsidR="00080B63" w:rsidRPr="00E953B2">
        <w:rPr>
          <w:rFonts w:ascii="Calibri" w:hAnsi="Calibri" w:cs="Arial"/>
          <w:sz w:val="20"/>
          <w:szCs w:val="20"/>
          <w:highlight w:val="yellow"/>
        </w:rPr>
        <w:t xml:space="preserve">5 135 </w:t>
      </w:r>
      <w:r w:rsidR="00D35A72" w:rsidRPr="00E953B2">
        <w:rPr>
          <w:rFonts w:ascii="Calibri" w:hAnsi="Calibri" w:cs="Arial"/>
          <w:sz w:val="20"/>
          <w:szCs w:val="20"/>
          <w:highlight w:val="yellow"/>
        </w:rPr>
        <w:t xml:space="preserve">tis. Kč.  </w:t>
      </w:r>
      <w:r w:rsidRPr="00E953B2">
        <w:rPr>
          <w:rFonts w:ascii="Calibri" w:hAnsi="Calibri" w:cs="Arial"/>
          <w:sz w:val="20"/>
          <w:szCs w:val="20"/>
          <w:highlight w:val="yellow"/>
        </w:rPr>
        <w:t xml:space="preserve">Ve výzvě H2020 byl schválen projekt </w:t>
      </w:r>
      <w:proofErr w:type="spellStart"/>
      <w:r w:rsidRPr="00E953B2">
        <w:rPr>
          <w:rFonts w:ascii="Calibri" w:hAnsi="Calibri" w:cs="Arial"/>
          <w:sz w:val="20"/>
          <w:szCs w:val="20"/>
          <w:highlight w:val="yellow"/>
        </w:rPr>
        <w:t>Global</w:t>
      </w:r>
      <w:proofErr w:type="spellEnd"/>
      <w:r w:rsidRPr="00E953B2">
        <w:rPr>
          <w:rFonts w:ascii="Calibri" w:hAnsi="Calibri" w:cs="Arial"/>
          <w:sz w:val="20"/>
          <w:szCs w:val="20"/>
          <w:highlight w:val="yellow"/>
        </w:rPr>
        <w:t xml:space="preserve"> Excellence in Modelling </w:t>
      </w:r>
      <w:proofErr w:type="spellStart"/>
      <w:r w:rsidRPr="00E953B2">
        <w:rPr>
          <w:rFonts w:ascii="Calibri" w:hAnsi="Calibri" w:cs="Arial"/>
          <w:sz w:val="20"/>
          <w:szCs w:val="20"/>
          <w:highlight w:val="yellow"/>
        </w:rPr>
        <w:t>of</w:t>
      </w:r>
      <w:proofErr w:type="spellEnd"/>
      <w:r w:rsidRPr="00E953B2">
        <w:rPr>
          <w:rFonts w:ascii="Calibri" w:hAnsi="Calibri" w:cs="Arial"/>
          <w:sz w:val="20"/>
          <w:szCs w:val="20"/>
          <w:highlight w:val="yellow"/>
        </w:rPr>
        <w:t xml:space="preserve"> </w:t>
      </w:r>
      <w:proofErr w:type="spellStart"/>
      <w:r w:rsidRPr="00E953B2">
        <w:rPr>
          <w:rFonts w:ascii="Calibri" w:hAnsi="Calibri" w:cs="Arial"/>
          <w:sz w:val="20"/>
          <w:szCs w:val="20"/>
          <w:highlight w:val="yellow"/>
        </w:rPr>
        <w:t>Climate</w:t>
      </w:r>
      <w:proofErr w:type="spellEnd"/>
      <w:r w:rsidRPr="00E953B2">
        <w:rPr>
          <w:rFonts w:ascii="Calibri" w:hAnsi="Calibri" w:cs="Arial"/>
          <w:sz w:val="20"/>
          <w:szCs w:val="20"/>
          <w:highlight w:val="yellow"/>
        </w:rPr>
        <w:t xml:space="preserve"> and </w:t>
      </w:r>
      <w:proofErr w:type="spellStart"/>
      <w:r w:rsidRPr="00E953B2">
        <w:rPr>
          <w:rFonts w:ascii="Calibri" w:hAnsi="Calibri" w:cs="Arial"/>
          <w:sz w:val="20"/>
          <w:szCs w:val="20"/>
          <w:highlight w:val="yellow"/>
        </w:rPr>
        <w:t>Energy</w:t>
      </w:r>
      <w:proofErr w:type="spellEnd"/>
      <w:r w:rsidRPr="00E953B2">
        <w:rPr>
          <w:rFonts w:ascii="Calibri" w:hAnsi="Calibri" w:cs="Arial"/>
          <w:sz w:val="20"/>
          <w:szCs w:val="20"/>
          <w:highlight w:val="yellow"/>
        </w:rPr>
        <w:t xml:space="preserve">,  který koordinuje prof. Ing.  Karel Janda, </w:t>
      </w:r>
      <w:proofErr w:type="gramStart"/>
      <w:r w:rsidRPr="00E953B2">
        <w:rPr>
          <w:rFonts w:ascii="Calibri" w:hAnsi="Calibri" w:cs="Arial"/>
          <w:sz w:val="20"/>
          <w:szCs w:val="20"/>
          <w:highlight w:val="yellow"/>
        </w:rPr>
        <w:t>M.A.</w:t>
      </w:r>
      <w:proofErr w:type="gramEnd"/>
      <w:r w:rsidRPr="00E953B2">
        <w:rPr>
          <w:rFonts w:ascii="Calibri" w:hAnsi="Calibri" w:cs="Arial"/>
          <w:sz w:val="20"/>
          <w:szCs w:val="20"/>
          <w:highlight w:val="yellow"/>
        </w:rPr>
        <w:t xml:space="preserve">, Dr., Ph.D. a jehož řešení bude zahájeno v roce 2016.  </w:t>
      </w:r>
    </w:p>
    <w:p w:rsidR="00D35A72" w:rsidRPr="00E953B2" w:rsidRDefault="00D35A72" w:rsidP="00177E48">
      <w:pPr>
        <w:jc w:val="both"/>
        <w:rPr>
          <w:rFonts w:ascii="Calibri" w:hAnsi="Calibri" w:cs="Arial"/>
          <w:sz w:val="20"/>
          <w:szCs w:val="20"/>
          <w:highlight w:val="yellow"/>
        </w:rPr>
      </w:pPr>
      <w:r w:rsidRPr="00E953B2">
        <w:rPr>
          <w:rFonts w:ascii="Calibri" w:hAnsi="Calibri" w:cs="Arial"/>
          <w:sz w:val="20"/>
          <w:szCs w:val="20"/>
          <w:highlight w:val="yellow"/>
        </w:rPr>
        <w:t xml:space="preserve">V roce 2015 bylo do státního rozpočtu vráceno 1 575 tis. Kč, které se nepodařilo v rámci grantových projektů dle příslušných pravidel grantových agentur vyčerpat. </w:t>
      </w:r>
    </w:p>
    <w:p w:rsidR="00D35A72" w:rsidRPr="00E953B2" w:rsidRDefault="00D35A72" w:rsidP="00177E48">
      <w:pPr>
        <w:jc w:val="both"/>
        <w:rPr>
          <w:rFonts w:ascii="Calibri" w:hAnsi="Calibri" w:cs="Arial"/>
          <w:sz w:val="20"/>
          <w:szCs w:val="20"/>
          <w:highlight w:val="yellow"/>
        </w:rPr>
      </w:pPr>
      <w:r w:rsidRPr="00E953B2">
        <w:rPr>
          <w:rFonts w:ascii="Calibri" w:hAnsi="Calibri" w:cs="Arial"/>
          <w:sz w:val="20"/>
          <w:szCs w:val="20"/>
          <w:highlight w:val="yellow"/>
        </w:rPr>
        <w:t>V oblasti vědy a výzkumu spolupracujeme s dalšími fakulta</w:t>
      </w:r>
      <w:r w:rsidR="00E05B44" w:rsidRPr="00E953B2">
        <w:rPr>
          <w:rFonts w:ascii="Calibri" w:hAnsi="Calibri" w:cs="Arial"/>
          <w:sz w:val="20"/>
          <w:szCs w:val="20"/>
          <w:highlight w:val="yellow"/>
        </w:rPr>
        <w:t>mi UK a jinými organizacemi</w:t>
      </w:r>
      <w:r w:rsidRPr="00E953B2">
        <w:rPr>
          <w:rFonts w:ascii="Calibri" w:hAnsi="Calibri" w:cs="Arial"/>
          <w:sz w:val="20"/>
          <w:szCs w:val="20"/>
          <w:highlight w:val="yellow"/>
        </w:rPr>
        <w:t xml:space="preserve"> např. AV ČR, Česko-německý fond budoucnosti, </w:t>
      </w:r>
      <w:r w:rsidR="00E05B44" w:rsidRPr="00E953B2">
        <w:rPr>
          <w:rFonts w:ascii="Calibri" w:hAnsi="Calibri" w:cs="Arial"/>
          <w:sz w:val="20"/>
          <w:szCs w:val="20"/>
          <w:highlight w:val="yellow"/>
        </w:rPr>
        <w:t xml:space="preserve">VŠI, MU Brno či zahraničními institucemi </w:t>
      </w:r>
      <w:proofErr w:type="spellStart"/>
      <w:r w:rsidR="00E05B44" w:rsidRPr="00E953B2">
        <w:rPr>
          <w:rFonts w:ascii="Calibri" w:hAnsi="Calibri" w:cs="Arial"/>
          <w:sz w:val="20"/>
          <w:szCs w:val="20"/>
          <w:highlight w:val="yellow"/>
        </w:rPr>
        <w:t>Université</w:t>
      </w:r>
      <w:proofErr w:type="spellEnd"/>
      <w:r w:rsidR="00E05B44" w:rsidRPr="00E953B2">
        <w:rPr>
          <w:rFonts w:ascii="Calibri" w:hAnsi="Calibri" w:cs="Arial"/>
          <w:sz w:val="20"/>
          <w:szCs w:val="20"/>
          <w:highlight w:val="yellow"/>
        </w:rPr>
        <w:t xml:space="preserve"> </w:t>
      </w:r>
      <w:proofErr w:type="spellStart"/>
      <w:r w:rsidR="00E05B44" w:rsidRPr="00E953B2">
        <w:rPr>
          <w:rFonts w:ascii="Calibri" w:hAnsi="Calibri" w:cs="Arial"/>
          <w:sz w:val="20"/>
          <w:szCs w:val="20"/>
          <w:highlight w:val="yellow"/>
        </w:rPr>
        <w:t>d'Aix</w:t>
      </w:r>
      <w:proofErr w:type="spellEnd"/>
      <w:r w:rsidR="00E05B44" w:rsidRPr="00E953B2">
        <w:rPr>
          <w:rFonts w:ascii="Calibri" w:hAnsi="Calibri" w:cs="Arial"/>
          <w:sz w:val="20"/>
          <w:szCs w:val="20"/>
          <w:highlight w:val="yellow"/>
        </w:rPr>
        <w:t xml:space="preserve"> Marseille a </w:t>
      </w:r>
      <w:proofErr w:type="spellStart"/>
      <w:r w:rsidR="00E05B44" w:rsidRPr="00E953B2">
        <w:rPr>
          <w:rFonts w:ascii="Calibri" w:hAnsi="Calibri" w:cs="Arial"/>
          <w:sz w:val="20"/>
          <w:szCs w:val="20"/>
          <w:highlight w:val="yellow"/>
        </w:rPr>
        <w:t>Everis</w:t>
      </w:r>
      <w:proofErr w:type="spellEnd"/>
      <w:r w:rsidR="00E05B44" w:rsidRPr="00E953B2">
        <w:rPr>
          <w:rFonts w:ascii="Calibri" w:hAnsi="Calibri" w:cs="Arial"/>
          <w:sz w:val="20"/>
          <w:szCs w:val="20"/>
          <w:highlight w:val="yellow"/>
        </w:rPr>
        <w:t xml:space="preserve"> </w:t>
      </w:r>
      <w:proofErr w:type="spellStart"/>
      <w:r w:rsidR="00E05B44" w:rsidRPr="00E953B2">
        <w:rPr>
          <w:rFonts w:ascii="Calibri" w:hAnsi="Calibri" w:cs="Arial"/>
          <w:sz w:val="20"/>
          <w:szCs w:val="20"/>
          <w:highlight w:val="yellow"/>
        </w:rPr>
        <w:t>Spain</w:t>
      </w:r>
      <w:proofErr w:type="spellEnd"/>
      <w:r w:rsidR="00E05B44" w:rsidRPr="00E953B2">
        <w:rPr>
          <w:rFonts w:ascii="Calibri" w:hAnsi="Calibri" w:cs="Arial"/>
          <w:sz w:val="20"/>
          <w:szCs w:val="20"/>
          <w:highlight w:val="yellow"/>
        </w:rPr>
        <w:t>.</w:t>
      </w:r>
    </w:p>
    <w:p w:rsidR="00177E48" w:rsidRPr="00E953B2" w:rsidRDefault="00177E48" w:rsidP="00177E48">
      <w:pPr>
        <w:jc w:val="both"/>
        <w:rPr>
          <w:rFonts w:ascii="Calibri" w:hAnsi="Calibri" w:cs="Arial"/>
          <w:sz w:val="20"/>
          <w:szCs w:val="20"/>
          <w:highlight w:val="yellow"/>
        </w:rPr>
      </w:pPr>
      <w:r w:rsidRPr="00E953B2">
        <w:rPr>
          <w:rFonts w:ascii="Calibri" w:hAnsi="Calibri" w:cs="Arial"/>
          <w:sz w:val="20"/>
          <w:szCs w:val="20"/>
          <w:highlight w:val="yellow"/>
        </w:rPr>
        <w:t xml:space="preserve">V roce 2015 bylo na fakultě řešeno 140 grantových projektů, nově bylo zahájeno řešení 29 nových vědeckých projektů získaných v domácích i zahraničních grantových soutěžích. Konkrétně se jednalo o projekty Grantové agentury České republiky (GA ČR), Ministerstva vnitra ČR, </w:t>
      </w:r>
      <w:proofErr w:type="spellStart"/>
      <w:r w:rsidRPr="00E953B2">
        <w:rPr>
          <w:rFonts w:ascii="Calibri" w:hAnsi="Calibri" w:cs="Arial"/>
          <w:sz w:val="20"/>
          <w:szCs w:val="20"/>
          <w:highlight w:val="yellow"/>
        </w:rPr>
        <w:t>Global</w:t>
      </w:r>
      <w:proofErr w:type="spellEnd"/>
      <w:r w:rsidRPr="00E953B2">
        <w:rPr>
          <w:rFonts w:ascii="Calibri" w:hAnsi="Calibri" w:cs="Arial"/>
          <w:sz w:val="20"/>
          <w:szCs w:val="20"/>
          <w:highlight w:val="yellow"/>
        </w:rPr>
        <w:t xml:space="preserve"> </w:t>
      </w:r>
      <w:proofErr w:type="spellStart"/>
      <w:r w:rsidRPr="00E953B2">
        <w:rPr>
          <w:rFonts w:ascii="Calibri" w:hAnsi="Calibri" w:cs="Arial"/>
          <w:sz w:val="20"/>
          <w:szCs w:val="20"/>
          <w:highlight w:val="yellow"/>
        </w:rPr>
        <w:t>Development</w:t>
      </w:r>
      <w:proofErr w:type="spellEnd"/>
      <w:r w:rsidRPr="00E953B2">
        <w:rPr>
          <w:rFonts w:ascii="Calibri" w:hAnsi="Calibri" w:cs="Arial"/>
          <w:sz w:val="20"/>
          <w:szCs w:val="20"/>
          <w:highlight w:val="yellow"/>
        </w:rPr>
        <w:t xml:space="preserve"> Network, Ministerstva kultury ČR, Fondu partnerství, </w:t>
      </w:r>
      <w:proofErr w:type="spellStart"/>
      <w:r w:rsidRPr="00E953B2">
        <w:rPr>
          <w:rFonts w:ascii="Calibri" w:hAnsi="Calibri" w:cs="Arial"/>
          <w:sz w:val="20"/>
          <w:szCs w:val="20"/>
          <w:highlight w:val="yellow"/>
        </w:rPr>
        <w:t>Aktion</w:t>
      </w:r>
      <w:proofErr w:type="spellEnd"/>
      <w:r w:rsidRPr="00E953B2">
        <w:rPr>
          <w:rFonts w:ascii="Calibri" w:hAnsi="Calibri" w:cs="Arial"/>
          <w:sz w:val="20"/>
          <w:szCs w:val="20"/>
          <w:highlight w:val="yellow"/>
        </w:rPr>
        <w:t xml:space="preserve"> </w:t>
      </w:r>
      <w:proofErr w:type="spellStart"/>
      <w:r w:rsidRPr="00E953B2">
        <w:rPr>
          <w:rFonts w:ascii="Calibri" w:hAnsi="Calibri" w:cs="Arial"/>
          <w:sz w:val="20"/>
          <w:szCs w:val="20"/>
          <w:highlight w:val="yellow"/>
        </w:rPr>
        <w:t>Österreich</w:t>
      </w:r>
      <w:proofErr w:type="spellEnd"/>
      <w:r w:rsidRPr="00E953B2">
        <w:rPr>
          <w:rFonts w:ascii="Calibri" w:hAnsi="Calibri" w:cs="Arial"/>
          <w:sz w:val="20"/>
          <w:szCs w:val="20"/>
          <w:highlight w:val="yellow"/>
        </w:rPr>
        <w:t xml:space="preserve">, International </w:t>
      </w:r>
      <w:proofErr w:type="spellStart"/>
      <w:r w:rsidRPr="00E953B2">
        <w:rPr>
          <w:rFonts w:ascii="Calibri" w:hAnsi="Calibri" w:cs="Arial"/>
          <w:sz w:val="20"/>
          <w:szCs w:val="20"/>
          <w:highlight w:val="yellow"/>
        </w:rPr>
        <w:t>Visegrad</w:t>
      </w:r>
      <w:proofErr w:type="spellEnd"/>
      <w:r w:rsidRPr="00E953B2">
        <w:rPr>
          <w:rFonts w:ascii="Calibri" w:hAnsi="Calibri" w:cs="Arial"/>
          <w:sz w:val="20"/>
          <w:szCs w:val="20"/>
          <w:highlight w:val="yellow"/>
        </w:rPr>
        <w:t xml:space="preserve"> </w:t>
      </w:r>
      <w:proofErr w:type="spellStart"/>
      <w:r w:rsidRPr="00E953B2">
        <w:rPr>
          <w:rFonts w:ascii="Calibri" w:hAnsi="Calibri" w:cs="Arial"/>
          <w:sz w:val="20"/>
          <w:szCs w:val="20"/>
          <w:highlight w:val="yellow"/>
        </w:rPr>
        <w:t>Fund</w:t>
      </w:r>
      <w:proofErr w:type="spellEnd"/>
      <w:r w:rsidRPr="00E953B2">
        <w:rPr>
          <w:rFonts w:ascii="Calibri" w:hAnsi="Calibri" w:cs="Arial"/>
          <w:sz w:val="20"/>
          <w:szCs w:val="20"/>
          <w:highlight w:val="yellow"/>
        </w:rPr>
        <w:t xml:space="preserve"> a Česko-německého fondu budoucnosti. V soutěžích GA ČR uspělo 7 projektů z celkového počtu 23 podaných projektů. V soutěži Grantové agentury Univerzity Karlovy v Praze (GA UK) bylo přijato k řešení 35 z celkem 96 podaných studentských projektů. </w:t>
      </w:r>
    </w:p>
    <w:p w:rsidR="00177E48" w:rsidRPr="00177E48" w:rsidRDefault="00177E48" w:rsidP="00857683">
      <w:pPr>
        <w:jc w:val="both"/>
        <w:rPr>
          <w:rFonts w:ascii="Calibri" w:hAnsi="Calibri" w:cs="Arial"/>
          <w:sz w:val="20"/>
          <w:szCs w:val="20"/>
        </w:rPr>
      </w:pPr>
      <w:r w:rsidRPr="00E953B2">
        <w:rPr>
          <w:rFonts w:ascii="Calibri" w:hAnsi="Calibri"/>
          <w:sz w:val="20"/>
          <w:szCs w:val="20"/>
          <w:highlight w:val="yellow"/>
        </w:rPr>
        <w:t xml:space="preserve">V rámci rozpočtu fakulty pokračovala v podpoře vydávání 6 odborných recenzovaných časopisů: impaktovaného časopisu </w:t>
      </w:r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Czech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Journal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of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Economics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and Finance</w:t>
      </w:r>
      <w:r w:rsidRPr="00E953B2">
        <w:rPr>
          <w:rFonts w:ascii="Calibri" w:hAnsi="Calibri"/>
          <w:sz w:val="20"/>
          <w:szCs w:val="20"/>
          <w:highlight w:val="yellow"/>
        </w:rPr>
        <w:t xml:space="preserve"> (Institut ekonomických studií), časopisů evidovaných v databázi </w:t>
      </w:r>
      <w:proofErr w:type="spellStart"/>
      <w:r w:rsidRPr="00E953B2">
        <w:rPr>
          <w:rFonts w:ascii="Calibri" w:hAnsi="Calibri"/>
          <w:sz w:val="20"/>
          <w:szCs w:val="20"/>
          <w:highlight w:val="yellow"/>
        </w:rPr>
        <w:t>Scopus</w:t>
      </w:r>
      <w:proofErr w:type="spellEnd"/>
      <w:r w:rsidRPr="00E953B2">
        <w:rPr>
          <w:rFonts w:ascii="Calibri" w:hAnsi="Calibri"/>
          <w:sz w:val="20"/>
          <w:szCs w:val="20"/>
          <w:highlight w:val="yellow"/>
        </w:rPr>
        <w:t xml:space="preserve">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Central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European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Journal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of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Public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Policy</w:t>
      </w:r>
      <w:proofErr w:type="spellEnd"/>
      <w:r w:rsidRPr="00E953B2">
        <w:rPr>
          <w:rFonts w:ascii="Calibri" w:hAnsi="Calibri"/>
          <w:sz w:val="20"/>
          <w:szCs w:val="20"/>
          <w:highlight w:val="yellow"/>
        </w:rPr>
        <w:t xml:space="preserve"> (Centrum pro sociální a ekonomické strategie), </w:t>
      </w:r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Czech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Economic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Review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</w:t>
      </w:r>
      <w:r w:rsidRPr="00E953B2">
        <w:rPr>
          <w:rFonts w:ascii="Calibri" w:hAnsi="Calibri"/>
          <w:sz w:val="20"/>
          <w:szCs w:val="20"/>
          <w:highlight w:val="yellow"/>
        </w:rPr>
        <w:t xml:space="preserve">(Institut ekonomických studií) a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The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Annual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of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Language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&amp;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Politics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and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Politics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of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Identity </w:t>
      </w:r>
      <w:r w:rsidRPr="00E953B2">
        <w:rPr>
          <w:rFonts w:ascii="Calibri" w:hAnsi="Calibri"/>
          <w:sz w:val="20"/>
          <w:szCs w:val="20"/>
          <w:highlight w:val="yellow"/>
        </w:rPr>
        <w:t>(Institut politologických studií)</w:t>
      </w:r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. Dále se jednalo o časopis Acta </w:t>
      </w:r>
      <w:proofErr w:type="spellStart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Politologica</w:t>
      </w:r>
      <w:proofErr w:type="spellEnd"/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 xml:space="preserve"> </w:t>
      </w:r>
      <w:r w:rsidRPr="00E953B2">
        <w:rPr>
          <w:rFonts w:ascii="Calibri" w:hAnsi="Calibri"/>
          <w:sz w:val="20"/>
          <w:szCs w:val="20"/>
          <w:highlight w:val="yellow"/>
        </w:rPr>
        <w:t>(Institut politologických studií)</w:t>
      </w:r>
      <w:r w:rsidRPr="00E953B2">
        <w:rPr>
          <w:rStyle w:val="NormlnKurzva"/>
          <w:rFonts w:ascii="Calibri" w:hAnsi="Calibri"/>
          <w:sz w:val="20"/>
          <w:szCs w:val="20"/>
          <w:highlight w:val="yellow"/>
        </w:rPr>
        <w:t>, který je zařazen do databáze ERIH Plus,</w:t>
      </w:r>
      <w:r w:rsidRPr="00E953B2">
        <w:rPr>
          <w:rFonts w:ascii="Calibri" w:hAnsi="Calibri"/>
          <w:sz w:val="20"/>
          <w:szCs w:val="20"/>
          <w:highlight w:val="yellow"/>
        </w:rPr>
        <w:t xml:space="preserve"> a časopisu </w:t>
      </w:r>
      <w:r w:rsidRPr="00E953B2">
        <w:rPr>
          <w:rFonts w:ascii="Calibri" w:hAnsi="Calibri"/>
          <w:i/>
          <w:sz w:val="20"/>
          <w:szCs w:val="20"/>
          <w:highlight w:val="yellow"/>
        </w:rPr>
        <w:t xml:space="preserve">Mediální studia </w:t>
      </w:r>
      <w:r w:rsidRPr="00E953B2">
        <w:rPr>
          <w:rFonts w:ascii="Calibri" w:hAnsi="Calibri"/>
          <w:sz w:val="20"/>
          <w:szCs w:val="20"/>
          <w:highlight w:val="yellow"/>
        </w:rPr>
        <w:t>(Institut komunikačních studií a žurnalistiky)</w:t>
      </w:r>
      <w:r w:rsidRPr="00E953B2">
        <w:rPr>
          <w:rFonts w:ascii="Calibri" w:hAnsi="Calibri"/>
          <w:i/>
          <w:sz w:val="20"/>
          <w:szCs w:val="20"/>
          <w:highlight w:val="yellow"/>
        </w:rPr>
        <w:t>,</w:t>
      </w:r>
      <w:r w:rsidRPr="00E953B2">
        <w:rPr>
          <w:rFonts w:ascii="Calibri" w:hAnsi="Calibri"/>
          <w:sz w:val="20"/>
          <w:szCs w:val="20"/>
          <w:highlight w:val="yellow"/>
        </w:rPr>
        <w:t xml:space="preserve"> zařazeného na seznam recenzovaných neimpaktovaných periodik vydávaných v ČR. V roce 2015 pokračoval systém podpory vydávání vědeckých monografií pracovníků fakulty, který spravuje Ediční komise FSV UK.  Celkem bylo podpořeno vydání 8 monografií.</w:t>
      </w:r>
    </w:p>
    <w:p w:rsidR="00177E48" w:rsidRDefault="00177E48" w:rsidP="00857683">
      <w:pPr>
        <w:jc w:val="both"/>
        <w:rPr>
          <w:rFonts w:ascii="Calibri" w:hAnsi="Calibri" w:cs="Arial"/>
          <w:sz w:val="20"/>
          <w:szCs w:val="20"/>
        </w:rPr>
      </w:pPr>
    </w:p>
    <w:p w:rsidR="00E05B44" w:rsidRDefault="00E05B44" w:rsidP="00857683">
      <w:pPr>
        <w:jc w:val="both"/>
        <w:rPr>
          <w:rFonts w:ascii="Calibri" w:hAnsi="Calibri" w:cs="Arial"/>
          <w:sz w:val="20"/>
          <w:szCs w:val="20"/>
        </w:rPr>
      </w:pPr>
    </w:p>
    <w:p w:rsidR="00E05B44" w:rsidRDefault="00E05B44" w:rsidP="00857683">
      <w:pPr>
        <w:jc w:val="both"/>
        <w:rPr>
          <w:rFonts w:ascii="Calibri" w:hAnsi="Calibri" w:cs="Arial"/>
          <w:sz w:val="20"/>
          <w:szCs w:val="20"/>
        </w:rPr>
      </w:pPr>
    </w:p>
    <w:p w:rsidR="00BA3900" w:rsidRPr="00BA3900" w:rsidRDefault="00BA3900" w:rsidP="00461C49">
      <w:pPr>
        <w:jc w:val="both"/>
        <w:rPr>
          <w:rFonts w:ascii="Calibri" w:hAnsi="Calibri" w:cs="Arial"/>
          <w:b/>
          <w:sz w:val="20"/>
          <w:szCs w:val="20"/>
        </w:rPr>
      </w:pPr>
      <w:r w:rsidRPr="00BA3900">
        <w:rPr>
          <w:rFonts w:ascii="Calibri" w:hAnsi="Calibri" w:cs="Arial"/>
          <w:b/>
          <w:sz w:val="20"/>
          <w:szCs w:val="20"/>
        </w:rPr>
        <w:t>INVESTIČNÍ AKCE</w:t>
      </w:r>
      <w:r w:rsidR="00862E9D">
        <w:rPr>
          <w:rFonts w:ascii="Calibri" w:hAnsi="Calibri" w:cs="Arial"/>
          <w:b/>
          <w:sz w:val="20"/>
          <w:szCs w:val="20"/>
        </w:rPr>
        <w:t>, OPRAVY</w:t>
      </w:r>
    </w:p>
    <w:p w:rsidR="00BA3900" w:rsidRDefault="00376B4C" w:rsidP="00461C49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Investice do IT zařízení byly </w:t>
      </w:r>
      <w:r w:rsidR="007A7E6B">
        <w:rPr>
          <w:rFonts w:ascii="Calibri" w:hAnsi="Calibri" w:cs="Arial"/>
          <w:sz w:val="20"/>
          <w:szCs w:val="20"/>
        </w:rPr>
        <w:t>do síťového</w:t>
      </w:r>
      <w:r w:rsidR="00D85976">
        <w:rPr>
          <w:rFonts w:ascii="Calibri" w:hAnsi="Calibri" w:cs="Arial"/>
          <w:sz w:val="20"/>
          <w:szCs w:val="20"/>
        </w:rPr>
        <w:t xml:space="preserve"> vybavení Cisco, síťových karet </w:t>
      </w:r>
      <w:proofErr w:type="gramStart"/>
      <w:r w:rsidR="00D85976">
        <w:rPr>
          <w:rFonts w:ascii="Calibri" w:hAnsi="Calibri" w:cs="Arial"/>
          <w:sz w:val="20"/>
          <w:szCs w:val="20"/>
        </w:rPr>
        <w:t xml:space="preserve">Fujitsu, </w:t>
      </w:r>
      <w:r w:rsidR="007A7E6B">
        <w:rPr>
          <w:rFonts w:ascii="Calibri" w:hAnsi="Calibri" w:cs="Arial"/>
          <w:sz w:val="20"/>
          <w:szCs w:val="20"/>
        </w:rPr>
        <w:t xml:space="preserve"> projektorů</w:t>
      </w:r>
      <w:proofErr w:type="gramEnd"/>
      <w:r w:rsidR="007A7E6B">
        <w:rPr>
          <w:rFonts w:ascii="Calibri" w:hAnsi="Calibri" w:cs="Arial"/>
          <w:sz w:val="20"/>
          <w:szCs w:val="20"/>
        </w:rPr>
        <w:t xml:space="preserve">, </w:t>
      </w:r>
      <w:r w:rsidR="00D85976">
        <w:rPr>
          <w:rFonts w:ascii="Calibri" w:hAnsi="Calibri" w:cs="Arial"/>
          <w:sz w:val="20"/>
          <w:szCs w:val="20"/>
        </w:rPr>
        <w:t>záložních zdrojů apod.</w:t>
      </w:r>
    </w:p>
    <w:p w:rsidR="005248D0" w:rsidRDefault="00376B4C" w:rsidP="005248D0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Fakulta rovněž </w:t>
      </w:r>
      <w:r w:rsidR="00940EC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> prostředků FRM částečně investovala</w:t>
      </w:r>
      <w:r w:rsidR="002F646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do </w:t>
      </w:r>
      <w:r w:rsidR="007A7E6B">
        <w:rPr>
          <w:rFonts w:ascii="Calibri" w:hAnsi="Calibri" w:cs="Arial"/>
          <w:sz w:val="20"/>
          <w:szCs w:val="20"/>
        </w:rPr>
        <w:t xml:space="preserve">přípravy </w:t>
      </w:r>
      <w:r w:rsidR="002F646B">
        <w:rPr>
          <w:rFonts w:ascii="Calibri" w:hAnsi="Calibri" w:cs="Arial"/>
          <w:sz w:val="20"/>
          <w:szCs w:val="20"/>
        </w:rPr>
        <w:t>projektu financovaného z programu OP V</w:t>
      </w:r>
      <w:r w:rsidR="007A7E6B">
        <w:rPr>
          <w:rFonts w:ascii="Calibri" w:hAnsi="Calibri" w:cs="Arial"/>
          <w:sz w:val="20"/>
          <w:szCs w:val="20"/>
        </w:rPr>
        <w:t>VV</w:t>
      </w:r>
      <w:r w:rsidR="005248D0">
        <w:rPr>
          <w:rFonts w:ascii="Calibri" w:hAnsi="Calibri" w:cs="Arial"/>
          <w:sz w:val="20"/>
          <w:szCs w:val="20"/>
        </w:rPr>
        <w:t xml:space="preserve">, řešících potřebu navýšení prostorových kapacit jak pro výuku tak zejména pro akademické a THP zaměstnance. </w:t>
      </w:r>
    </w:p>
    <w:p w:rsidR="00376B4C" w:rsidRDefault="007A7E6B" w:rsidP="00461C49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Dalším neinvestičním nákladem bylo dodatečné krytí majetku </w:t>
      </w:r>
      <w:proofErr w:type="spellStart"/>
      <w:r>
        <w:rPr>
          <w:rFonts w:ascii="Calibri" w:hAnsi="Calibri" w:cs="Arial"/>
          <w:sz w:val="20"/>
          <w:szCs w:val="20"/>
        </w:rPr>
        <w:t>VaVpI</w:t>
      </w:r>
      <w:proofErr w:type="spellEnd"/>
      <w:r>
        <w:rPr>
          <w:rFonts w:ascii="Calibri" w:hAnsi="Calibri" w:cs="Arial"/>
          <w:sz w:val="20"/>
          <w:szCs w:val="20"/>
        </w:rPr>
        <w:t xml:space="preserve"> – porušení rozpočtové kázně.</w:t>
      </w:r>
    </w:p>
    <w:p w:rsidR="005248D0" w:rsidRDefault="005248D0" w:rsidP="00461C49">
      <w:pPr>
        <w:jc w:val="both"/>
        <w:rPr>
          <w:rFonts w:ascii="Calibri" w:hAnsi="Calibri" w:cs="Arial"/>
          <w:sz w:val="20"/>
          <w:szCs w:val="20"/>
        </w:rPr>
      </w:pPr>
    </w:p>
    <w:p w:rsidR="005248D0" w:rsidRDefault="005248D0" w:rsidP="00461C49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Opravy probíhaly ve všech budovách a byly hrazeny z provozních prostředků fakulty. Z větších akcí se jednalo o výměnu svítidel, elektro práce, instalatérské práce, výměna klapek, filtrů a </w:t>
      </w:r>
      <w:proofErr w:type="gramStart"/>
      <w:r>
        <w:rPr>
          <w:rFonts w:ascii="Calibri" w:hAnsi="Calibri" w:cs="Arial"/>
          <w:sz w:val="20"/>
          <w:szCs w:val="20"/>
        </w:rPr>
        <w:t>radiátorů,  odstranění</w:t>
      </w:r>
      <w:proofErr w:type="gramEnd"/>
      <w:r>
        <w:rPr>
          <w:rFonts w:ascii="Calibri" w:hAnsi="Calibri" w:cs="Arial"/>
          <w:sz w:val="20"/>
          <w:szCs w:val="20"/>
        </w:rPr>
        <w:t xml:space="preserve"> graffiti a nátěr fasády na budově </w:t>
      </w:r>
      <w:proofErr w:type="spellStart"/>
      <w:r>
        <w:rPr>
          <w:rFonts w:ascii="Calibri" w:hAnsi="Calibri" w:cs="Arial"/>
          <w:sz w:val="20"/>
          <w:szCs w:val="20"/>
        </w:rPr>
        <w:t>Hollar</w:t>
      </w:r>
      <w:proofErr w:type="spellEnd"/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</w:rPr>
        <w:t>podlahářské</w:t>
      </w:r>
      <w:proofErr w:type="spellEnd"/>
      <w:r>
        <w:rPr>
          <w:rFonts w:ascii="Calibri" w:hAnsi="Calibri" w:cs="Arial"/>
          <w:sz w:val="20"/>
          <w:szCs w:val="20"/>
        </w:rPr>
        <w:t xml:space="preserve"> práce a výměny koberců v kancelářích, úprava kování a lakýrnické práce u oken. Probíhal servis a údržba projektorů, tiskáren a kopírek. Všechny pravidelné revize </w:t>
      </w:r>
      <w:r w:rsidR="002552FB">
        <w:rPr>
          <w:rFonts w:ascii="Calibri" w:hAnsi="Calibri" w:cs="Arial"/>
          <w:sz w:val="20"/>
          <w:szCs w:val="20"/>
        </w:rPr>
        <w:t>a kontroly.</w:t>
      </w:r>
    </w:p>
    <w:p w:rsidR="003F01E8" w:rsidRDefault="003F01E8" w:rsidP="00857683">
      <w:pPr>
        <w:jc w:val="both"/>
        <w:rPr>
          <w:rFonts w:ascii="Calibri" w:hAnsi="Calibri" w:cs="Arial"/>
          <w:sz w:val="20"/>
          <w:szCs w:val="20"/>
        </w:rPr>
      </w:pPr>
    </w:p>
    <w:p w:rsidR="00C128D5" w:rsidRDefault="00C128D5" w:rsidP="00376B4C">
      <w:pPr>
        <w:jc w:val="both"/>
        <w:rPr>
          <w:rFonts w:ascii="Calibri" w:hAnsi="Calibri" w:cs="Arial"/>
          <w:sz w:val="20"/>
          <w:szCs w:val="20"/>
        </w:rPr>
      </w:pPr>
    </w:p>
    <w:p w:rsidR="00C128D5" w:rsidRPr="00440DAB" w:rsidRDefault="00C128D5" w:rsidP="00376B4C">
      <w:pPr>
        <w:jc w:val="both"/>
        <w:rPr>
          <w:rFonts w:ascii="Calibri" w:hAnsi="Calibri" w:cs="Arial"/>
          <w:b/>
          <w:sz w:val="20"/>
          <w:szCs w:val="20"/>
        </w:rPr>
      </w:pPr>
      <w:r w:rsidRPr="00440DAB">
        <w:rPr>
          <w:rFonts w:ascii="Calibri" w:hAnsi="Calibri" w:cs="Arial"/>
          <w:b/>
          <w:sz w:val="20"/>
          <w:szCs w:val="20"/>
        </w:rPr>
        <w:t>DOPLŇKOVÁ ČINNOST</w:t>
      </w:r>
    </w:p>
    <w:p w:rsidR="00C128D5" w:rsidRDefault="00C128D5" w:rsidP="00376B4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Hospodaření na Fakultě sociálních věd ovlivňuje také doplňková činnost (dále jen DČ). Doplňková činnost slouží na fakultě zejména k lepšímu využití prostorových kapacit a technického vybavení rozhlasové a televizní laboratoře při Institutu komunikačních studií a žurnalistiky.</w:t>
      </w:r>
    </w:p>
    <w:p w:rsidR="00C128D5" w:rsidRDefault="00C128D5" w:rsidP="00376B4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K základním kategoriím činností v DČ patří pronájem učeben, </w:t>
      </w:r>
      <w:r w:rsidR="00A53BBF">
        <w:rPr>
          <w:rFonts w:ascii="Calibri" w:hAnsi="Calibri" w:cs="Arial"/>
          <w:sz w:val="20"/>
          <w:szCs w:val="20"/>
        </w:rPr>
        <w:t>kurz ČJ pro zahraniční studenty</w:t>
      </w:r>
      <w:r>
        <w:rPr>
          <w:rFonts w:ascii="Calibri" w:hAnsi="Calibri" w:cs="Arial"/>
          <w:sz w:val="20"/>
          <w:szCs w:val="20"/>
        </w:rPr>
        <w:t xml:space="preserve"> a </w:t>
      </w:r>
      <w:r w:rsidR="005B5DE4">
        <w:rPr>
          <w:rFonts w:ascii="Calibri" w:hAnsi="Calibri" w:cs="Arial"/>
          <w:sz w:val="20"/>
          <w:szCs w:val="20"/>
        </w:rPr>
        <w:t>služby spojené s natáčením.</w:t>
      </w:r>
    </w:p>
    <w:p w:rsidR="00940EC9" w:rsidRDefault="00940EC9" w:rsidP="00376B4C">
      <w:pPr>
        <w:jc w:val="both"/>
        <w:rPr>
          <w:rFonts w:ascii="Calibri" w:hAnsi="Calibri" w:cs="Arial"/>
          <w:sz w:val="20"/>
          <w:szCs w:val="20"/>
        </w:rPr>
      </w:pPr>
    </w:p>
    <w:p w:rsidR="00940EC9" w:rsidRDefault="00940EC9" w:rsidP="00376B4C">
      <w:pPr>
        <w:jc w:val="both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5B5DE4" w:rsidRDefault="005B5DE4" w:rsidP="00376B4C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462"/>
      </w:tblGrid>
      <w:tr w:rsidR="005B5DE4" w:rsidRPr="005B5DE4" w:rsidTr="00230C50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5B5DE4" w:rsidRPr="005B5DE4" w:rsidRDefault="005B5DE4" w:rsidP="007249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B5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Struktura příjmů doplňkové činnosti v roce 201</w:t>
            </w:r>
            <w:r w:rsidR="007249F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6</w:t>
            </w:r>
            <w:r w:rsidRPr="005B5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5B5DE4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(v tis.</w:t>
            </w:r>
            <w:r w:rsidR="00230C50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 xml:space="preserve"> Kč</w:t>
            </w:r>
            <w:r w:rsidRPr="005B5DE4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)</w:t>
            </w:r>
          </w:p>
        </w:tc>
      </w:tr>
      <w:tr w:rsidR="005B5DE4" w:rsidRPr="005B5DE4" w:rsidTr="00230C5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DE4" w:rsidRPr="005B5DE4" w:rsidRDefault="005B5DE4" w:rsidP="005B5DE4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B5DE4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Příjmy z pronájmů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E4" w:rsidRPr="005B5DE4" w:rsidRDefault="007249FD" w:rsidP="005B5DE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380</w:t>
            </w:r>
          </w:p>
        </w:tc>
      </w:tr>
      <w:tr w:rsidR="005B5DE4" w:rsidRPr="005B5DE4" w:rsidTr="00230C5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B5DE4" w:rsidRPr="005B5DE4" w:rsidRDefault="00A53BBF" w:rsidP="005B5DE4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Kurz ČJ pro zahraniční studenty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B5DE4" w:rsidRPr="005B5DE4" w:rsidRDefault="00A53BBF" w:rsidP="005B5DE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1 450</w:t>
            </w:r>
          </w:p>
        </w:tc>
      </w:tr>
      <w:tr w:rsidR="005B5DE4" w:rsidRPr="005B5DE4" w:rsidTr="00230C5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DE4" w:rsidRPr="005B5DE4" w:rsidRDefault="005B5DE4" w:rsidP="005B5DE4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B5DE4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Natáčecí služby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E4" w:rsidRPr="005B5DE4" w:rsidRDefault="00A53BBF" w:rsidP="005B5DE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792</w:t>
            </w:r>
          </w:p>
        </w:tc>
      </w:tr>
      <w:tr w:rsidR="005B5DE4" w:rsidRPr="005B5DE4" w:rsidTr="00230C5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B5DE4" w:rsidRPr="005B5DE4" w:rsidRDefault="00A020F7" w:rsidP="005B5DE4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5B5DE4" w:rsidRPr="005B5DE4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statní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B5DE4" w:rsidRPr="005B5DE4" w:rsidRDefault="00A020F7" w:rsidP="005B5DE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3 138</w:t>
            </w:r>
          </w:p>
        </w:tc>
      </w:tr>
    </w:tbl>
    <w:p w:rsidR="005B5DE4" w:rsidRPr="003F01E8" w:rsidRDefault="005B5DE4" w:rsidP="00376B4C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418"/>
      </w:tblGrid>
      <w:tr w:rsidR="00440DAB" w:rsidRPr="00440DAB" w:rsidTr="00230C50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440DAB" w:rsidRPr="00440DAB" w:rsidRDefault="00440DAB" w:rsidP="007249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40DA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Struktura nákladů v doplňkové činnosti v roce 201</w:t>
            </w:r>
            <w:r w:rsidR="007249F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6</w:t>
            </w:r>
            <w:r w:rsidRPr="00440DA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440DAB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(v tis.</w:t>
            </w:r>
            <w:r w:rsidR="00230C50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 xml:space="preserve"> Kč</w:t>
            </w:r>
            <w:r w:rsidRPr="00440DAB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)</w:t>
            </w:r>
          </w:p>
        </w:tc>
      </w:tr>
      <w:tr w:rsidR="00440DAB" w:rsidRPr="00440DAB" w:rsidTr="00230C5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DAB" w:rsidRPr="00440DAB" w:rsidRDefault="00440DAB" w:rsidP="00440DAB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Mzdové náklady vč. Sociálního pojištění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B" w:rsidRPr="00440DAB" w:rsidRDefault="00AA605F" w:rsidP="00440D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2 983</w:t>
            </w:r>
          </w:p>
        </w:tc>
      </w:tr>
      <w:tr w:rsidR="00440DAB" w:rsidRPr="00440DAB" w:rsidTr="00230C5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440DAB" w:rsidRPr="00440DAB" w:rsidRDefault="00440DAB" w:rsidP="00440DAB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Materiál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440DAB" w:rsidRPr="00440DAB" w:rsidRDefault="00AA605F" w:rsidP="00440D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358</w:t>
            </w:r>
          </w:p>
        </w:tc>
      </w:tr>
      <w:tr w:rsidR="00440DAB" w:rsidRPr="00440DAB" w:rsidTr="00230C5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DAB" w:rsidRPr="00440DAB" w:rsidRDefault="00440DAB" w:rsidP="00440DAB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Služby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B" w:rsidRPr="00440DAB" w:rsidRDefault="00AA605F" w:rsidP="00440D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598</w:t>
            </w:r>
          </w:p>
        </w:tc>
      </w:tr>
      <w:tr w:rsidR="00440DAB" w:rsidRPr="00440DAB" w:rsidTr="00230C5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440DAB" w:rsidRPr="00440DAB" w:rsidRDefault="00440DAB" w:rsidP="00440DAB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Stipendia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440DAB" w:rsidRPr="00440DAB" w:rsidRDefault="00A53BBF" w:rsidP="00440D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296</w:t>
            </w:r>
          </w:p>
        </w:tc>
      </w:tr>
      <w:tr w:rsidR="00440DAB" w:rsidRPr="00440DAB" w:rsidTr="00230C5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DAB" w:rsidRPr="00440DAB" w:rsidRDefault="00440DAB" w:rsidP="00440DAB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B" w:rsidRPr="00440DAB" w:rsidRDefault="00A53BBF" w:rsidP="00440D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620</w:t>
            </w:r>
          </w:p>
        </w:tc>
      </w:tr>
    </w:tbl>
    <w:p w:rsidR="00376B4C" w:rsidRDefault="00376B4C" w:rsidP="00BA3900">
      <w:pPr>
        <w:jc w:val="both"/>
        <w:rPr>
          <w:rFonts w:ascii="Calibri" w:hAnsi="Calibri" w:cs="Arial"/>
          <w:b/>
          <w:sz w:val="20"/>
          <w:szCs w:val="20"/>
        </w:rPr>
      </w:pPr>
    </w:p>
    <w:p w:rsidR="00BA3900" w:rsidRDefault="00BA3900" w:rsidP="00857683">
      <w:pPr>
        <w:jc w:val="both"/>
        <w:rPr>
          <w:rFonts w:ascii="Calibri" w:hAnsi="Calibri" w:cs="Arial"/>
          <w:sz w:val="20"/>
          <w:szCs w:val="20"/>
        </w:rPr>
      </w:pPr>
    </w:p>
    <w:p w:rsidR="00440DAB" w:rsidRPr="00440DAB" w:rsidRDefault="00440DAB" w:rsidP="00857683">
      <w:pPr>
        <w:jc w:val="both"/>
        <w:rPr>
          <w:rFonts w:ascii="Calibri" w:hAnsi="Calibri" w:cs="Arial"/>
          <w:b/>
          <w:sz w:val="20"/>
          <w:szCs w:val="20"/>
        </w:rPr>
      </w:pPr>
      <w:r w:rsidRPr="00440DAB">
        <w:rPr>
          <w:rFonts w:ascii="Calibri" w:hAnsi="Calibri" w:cs="Arial"/>
          <w:b/>
          <w:sz w:val="20"/>
          <w:szCs w:val="20"/>
        </w:rPr>
        <w:t>FONDY</w:t>
      </w:r>
    </w:p>
    <w:p w:rsidR="00857683" w:rsidRDefault="00857683" w:rsidP="00857683">
      <w:pPr>
        <w:jc w:val="both"/>
        <w:rPr>
          <w:rFonts w:ascii="Calibri" w:hAnsi="Calibri" w:cs="Arial"/>
          <w:sz w:val="20"/>
          <w:szCs w:val="20"/>
        </w:rPr>
      </w:pPr>
      <w:r w:rsidRPr="003F01E8">
        <w:rPr>
          <w:rFonts w:ascii="Calibri" w:hAnsi="Calibri" w:cs="Arial"/>
          <w:sz w:val="20"/>
          <w:szCs w:val="20"/>
        </w:rPr>
        <w:t xml:space="preserve">Úspěšné hospodaření fakulty lze zaznamenat také u fondů, které meziročně vzrostly o </w:t>
      </w:r>
      <w:r w:rsidR="00A020F7">
        <w:rPr>
          <w:rFonts w:ascii="Calibri" w:hAnsi="Calibri" w:cs="Arial"/>
          <w:sz w:val="20"/>
          <w:szCs w:val="20"/>
        </w:rPr>
        <w:t>30</w:t>
      </w:r>
      <w:r w:rsidRPr="003F01E8">
        <w:rPr>
          <w:rFonts w:ascii="Calibri" w:hAnsi="Calibri" w:cs="Arial"/>
          <w:sz w:val="20"/>
          <w:szCs w:val="20"/>
        </w:rPr>
        <w:t xml:space="preserve">% a v absolutní hodnotě dosáhly částky </w:t>
      </w:r>
      <w:r w:rsidR="00A020F7">
        <w:rPr>
          <w:rFonts w:ascii="Calibri" w:hAnsi="Calibri" w:cs="Arial"/>
          <w:sz w:val="20"/>
          <w:szCs w:val="20"/>
        </w:rPr>
        <w:t>101 754</w:t>
      </w:r>
      <w:r w:rsidRPr="003F01E8">
        <w:rPr>
          <w:rFonts w:ascii="Calibri" w:hAnsi="Calibri" w:cs="Arial"/>
          <w:sz w:val="20"/>
          <w:szCs w:val="20"/>
        </w:rPr>
        <w:t xml:space="preserve"> tis. Kč k </w:t>
      </w:r>
      <w:proofErr w:type="gramStart"/>
      <w:r w:rsidRPr="003F01E8">
        <w:rPr>
          <w:rFonts w:ascii="Calibri" w:hAnsi="Calibri" w:cs="Arial"/>
          <w:sz w:val="20"/>
          <w:szCs w:val="20"/>
        </w:rPr>
        <w:t>31.12.201</w:t>
      </w:r>
      <w:r w:rsidR="00A020F7">
        <w:rPr>
          <w:rFonts w:ascii="Calibri" w:hAnsi="Calibri" w:cs="Arial"/>
          <w:sz w:val="20"/>
          <w:szCs w:val="20"/>
        </w:rPr>
        <w:t>6</w:t>
      </w:r>
      <w:proofErr w:type="gramEnd"/>
      <w:r w:rsidRPr="003F01E8">
        <w:rPr>
          <w:rFonts w:ascii="Calibri" w:hAnsi="Calibri" w:cs="Arial"/>
          <w:sz w:val="20"/>
          <w:szCs w:val="20"/>
        </w:rPr>
        <w:t xml:space="preserve">. Fond provozních prostředků se meziročně zvýšil o </w:t>
      </w:r>
      <w:r w:rsidR="00A020F7">
        <w:rPr>
          <w:rFonts w:ascii="Calibri" w:hAnsi="Calibri" w:cs="Arial"/>
          <w:sz w:val="20"/>
          <w:szCs w:val="20"/>
        </w:rPr>
        <w:t>19 142</w:t>
      </w:r>
      <w:r w:rsidRPr="003F01E8">
        <w:rPr>
          <w:rFonts w:ascii="Calibri" w:hAnsi="Calibri" w:cs="Arial"/>
          <w:sz w:val="20"/>
          <w:szCs w:val="20"/>
        </w:rPr>
        <w:t xml:space="preserve"> tis</w:t>
      </w:r>
      <w:r w:rsidR="00BA3900">
        <w:rPr>
          <w:rFonts w:ascii="Calibri" w:hAnsi="Calibri" w:cs="Arial"/>
          <w:sz w:val="20"/>
          <w:szCs w:val="20"/>
        </w:rPr>
        <w:t>. Kč</w:t>
      </w:r>
      <w:r w:rsidR="00A020F7">
        <w:rPr>
          <w:rFonts w:ascii="Calibri" w:hAnsi="Calibri" w:cs="Arial"/>
          <w:sz w:val="20"/>
          <w:szCs w:val="20"/>
        </w:rPr>
        <w:t>.</w:t>
      </w:r>
    </w:p>
    <w:p w:rsidR="00A020F7" w:rsidRPr="003F01E8" w:rsidRDefault="00A020F7" w:rsidP="00857683">
      <w:pPr>
        <w:jc w:val="both"/>
        <w:rPr>
          <w:rFonts w:ascii="Calibri" w:hAnsi="Calibri" w:cs="Arial"/>
          <w:sz w:val="20"/>
          <w:szCs w:val="20"/>
        </w:rPr>
      </w:pPr>
    </w:p>
    <w:p w:rsidR="00857683" w:rsidRPr="003F01E8" w:rsidRDefault="00857683" w:rsidP="00857683">
      <w:pPr>
        <w:jc w:val="both"/>
        <w:rPr>
          <w:rFonts w:ascii="Calibri" w:hAnsi="Calibri" w:cs="Arial"/>
          <w:sz w:val="20"/>
          <w:szCs w:val="20"/>
        </w:rPr>
      </w:pPr>
      <w:r w:rsidRPr="003F01E8">
        <w:rPr>
          <w:rFonts w:ascii="Calibri" w:hAnsi="Calibri" w:cs="Arial"/>
          <w:sz w:val="20"/>
          <w:szCs w:val="20"/>
        </w:rPr>
        <w:t>Zůstatek</w:t>
      </w:r>
      <w:r w:rsidR="00A020F7">
        <w:rPr>
          <w:rFonts w:ascii="Calibri" w:hAnsi="Calibri" w:cs="Arial"/>
          <w:sz w:val="20"/>
          <w:szCs w:val="20"/>
        </w:rPr>
        <w:t xml:space="preserve"> sociálního fondu k 31. 12. 2016</w:t>
      </w:r>
      <w:r w:rsidRPr="003F01E8">
        <w:rPr>
          <w:rFonts w:ascii="Calibri" w:hAnsi="Calibri" w:cs="Arial"/>
          <w:sz w:val="20"/>
          <w:szCs w:val="20"/>
        </w:rPr>
        <w:t xml:space="preserve"> činí </w:t>
      </w:r>
      <w:r w:rsidR="00A020F7">
        <w:rPr>
          <w:rFonts w:ascii="Calibri" w:hAnsi="Calibri" w:cs="Arial"/>
          <w:sz w:val="20"/>
          <w:szCs w:val="20"/>
        </w:rPr>
        <w:t>5 203 tis. Kč. V průběhu roku 2016</w:t>
      </w:r>
      <w:r w:rsidRPr="003F01E8">
        <w:rPr>
          <w:rFonts w:ascii="Calibri" w:hAnsi="Calibri" w:cs="Arial"/>
          <w:sz w:val="20"/>
          <w:szCs w:val="20"/>
        </w:rPr>
        <w:t xml:space="preserve"> byl tento fond čerpán ve </w:t>
      </w:r>
      <w:proofErr w:type="gramStart"/>
      <w:r w:rsidRPr="003F01E8">
        <w:rPr>
          <w:rFonts w:ascii="Calibri" w:hAnsi="Calibri" w:cs="Arial"/>
          <w:sz w:val="20"/>
          <w:szCs w:val="20"/>
        </w:rPr>
        <w:t xml:space="preserve">výši        </w:t>
      </w:r>
      <w:r w:rsidR="00A020F7">
        <w:rPr>
          <w:rFonts w:ascii="Calibri" w:hAnsi="Calibri" w:cs="Arial"/>
          <w:sz w:val="20"/>
          <w:szCs w:val="20"/>
        </w:rPr>
        <w:t>1 937</w:t>
      </w:r>
      <w:proofErr w:type="gramEnd"/>
      <w:r w:rsidRPr="003F01E8">
        <w:rPr>
          <w:rFonts w:ascii="Calibri" w:hAnsi="Calibri" w:cs="Arial"/>
          <w:sz w:val="20"/>
          <w:szCs w:val="20"/>
        </w:rPr>
        <w:t xml:space="preserve"> tis. Kč, a to především na penzijní a ž</w:t>
      </w:r>
      <w:r w:rsidR="00A020F7">
        <w:rPr>
          <w:rFonts w:ascii="Calibri" w:hAnsi="Calibri" w:cs="Arial"/>
          <w:sz w:val="20"/>
          <w:szCs w:val="20"/>
        </w:rPr>
        <w:t>ivotní připojištění ve výši 1 553</w:t>
      </w:r>
      <w:r w:rsidRPr="003F01E8">
        <w:rPr>
          <w:rFonts w:ascii="Calibri" w:hAnsi="Calibri" w:cs="Arial"/>
          <w:sz w:val="20"/>
          <w:szCs w:val="20"/>
        </w:rPr>
        <w:t xml:space="preserve"> tis. Kč, čerpání na příspěvky na úroky z úvěru na bytové účely ve výši </w:t>
      </w:r>
      <w:r w:rsidR="00A020F7">
        <w:rPr>
          <w:rFonts w:ascii="Calibri" w:hAnsi="Calibri" w:cs="Arial"/>
          <w:sz w:val="20"/>
          <w:szCs w:val="20"/>
        </w:rPr>
        <w:t>198</w:t>
      </w:r>
      <w:r w:rsidRPr="003F01E8">
        <w:rPr>
          <w:rFonts w:ascii="Calibri" w:hAnsi="Calibri" w:cs="Arial"/>
          <w:sz w:val="20"/>
          <w:szCs w:val="20"/>
        </w:rPr>
        <w:t xml:space="preserve"> tis., na příspěvek na další vzdělávání pracovníků </w:t>
      </w:r>
      <w:r w:rsidR="00A020F7">
        <w:rPr>
          <w:rFonts w:ascii="Calibri" w:hAnsi="Calibri" w:cs="Arial"/>
          <w:sz w:val="20"/>
          <w:szCs w:val="20"/>
        </w:rPr>
        <w:t>42</w:t>
      </w:r>
      <w:r w:rsidRPr="003F01E8">
        <w:rPr>
          <w:rFonts w:ascii="Calibri" w:hAnsi="Calibri" w:cs="Arial"/>
          <w:sz w:val="20"/>
          <w:szCs w:val="20"/>
        </w:rPr>
        <w:t xml:space="preserve"> tis. Kč</w:t>
      </w:r>
      <w:r w:rsidR="00A020F7">
        <w:rPr>
          <w:rFonts w:ascii="Calibri" w:hAnsi="Calibri" w:cs="Arial"/>
          <w:sz w:val="20"/>
          <w:szCs w:val="20"/>
        </w:rPr>
        <w:t>, n</w:t>
      </w:r>
      <w:r w:rsidRPr="003F01E8">
        <w:rPr>
          <w:rFonts w:ascii="Calibri" w:hAnsi="Calibri" w:cs="Arial"/>
          <w:sz w:val="20"/>
          <w:szCs w:val="20"/>
        </w:rPr>
        <w:t xml:space="preserve">a zdravotní péči bylo čerpáno </w:t>
      </w:r>
      <w:r w:rsidR="00A020F7">
        <w:rPr>
          <w:rFonts w:ascii="Calibri" w:hAnsi="Calibri" w:cs="Arial"/>
          <w:sz w:val="20"/>
          <w:szCs w:val="20"/>
        </w:rPr>
        <w:t>39</w:t>
      </w:r>
      <w:r w:rsidRPr="003F01E8">
        <w:rPr>
          <w:rFonts w:ascii="Calibri" w:hAnsi="Calibri" w:cs="Arial"/>
          <w:sz w:val="20"/>
          <w:szCs w:val="20"/>
        </w:rPr>
        <w:t xml:space="preserve"> tis. Kč a na předškolní vzdělávání </w:t>
      </w:r>
      <w:r w:rsidR="00114A19">
        <w:rPr>
          <w:rFonts w:ascii="Calibri" w:hAnsi="Calibri" w:cs="Arial"/>
          <w:sz w:val="20"/>
          <w:szCs w:val="20"/>
        </w:rPr>
        <w:t>105</w:t>
      </w:r>
      <w:r w:rsidRPr="003F01E8">
        <w:rPr>
          <w:rFonts w:ascii="Calibri" w:hAnsi="Calibri" w:cs="Arial"/>
          <w:sz w:val="20"/>
          <w:szCs w:val="20"/>
        </w:rPr>
        <w:t xml:space="preserve"> tis. Kč.</w:t>
      </w:r>
    </w:p>
    <w:p w:rsidR="00857683" w:rsidRPr="003F01E8" w:rsidRDefault="00857683" w:rsidP="00857683">
      <w:pPr>
        <w:jc w:val="both"/>
        <w:rPr>
          <w:rFonts w:ascii="Calibri" w:hAnsi="Calibri" w:cs="Arial"/>
          <w:sz w:val="20"/>
          <w:szCs w:val="20"/>
        </w:rPr>
      </w:pPr>
    </w:p>
    <w:p w:rsidR="00857683" w:rsidRDefault="00440DAB" w:rsidP="00857683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Ve</w:t>
      </w:r>
      <w:r w:rsidR="00857683" w:rsidRPr="003F01E8">
        <w:rPr>
          <w:rFonts w:ascii="Calibri" w:hAnsi="Calibri" w:cs="Arial"/>
          <w:sz w:val="20"/>
          <w:szCs w:val="20"/>
        </w:rPr>
        <w:t xml:space="preserve"> stipendijním </w:t>
      </w:r>
      <w:r w:rsidR="003165D7">
        <w:rPr>
          <w:rFonts w:ascii="Calibri" w:hAnsi="Calibri" w:cs="Arial"/>
          <w:sz w:val="20"/>
          <w:szCs w:val="20"/>
        </w:rPr>
        <w:t>fondu je zůstatek k 31. 12. 2016</w:t>
      </w:r>
      <w:r w:rsidR="00857683" w:rsidRPr="003F01E8">
        <w:rPr>
          <w:rFonts w:ascii="Calibri" w:hAnsi="Calibri" w:cs="Arial"/>
          <w:sz w:val="20"/>
          <w:szCs w:val="20"/>
        </w:rPr>
        <w:t xml:space="preserve"> ve výši 3 </w:t>
      </w:r>
      <w:r w:rsidR="003165D7">
        <w:rPr>
          <w:rFonts w:ascii="Calibri" w:hAnsi="Calibri" w:cs="Arial"/>
          <w:sz w:val="20"/>
          <w:szCs w:val="20"/>
        </w:rPr>
        <w:t>703</w:t>
      </w:r>
      <w:r w:rsidR="00857683" w:rsidRPr="003F01E8">
        <w:rPr>
          <w:rFonts w:ascii="Calibri" w:hAnsi="Calibri" w:cs="Arial"/>
          <w:sz w:val="20"/>
          <w:szCs w:val="20"/>
        </w:rPr>
        <w:t xml:space="preserve"> tis. Kč. Z tohoto fondu bylo čerpáno celkem 9 </w:t>
      </w:r>
      <w:r w:rsidR="003165D7">
        <w:rPr>
          <w:rFonts w:ascii="Calibri" w:hAnsi="Calibri" w:cs="Arial"/>
          <w:sz w:val="20"/>
          <w:szCs w:val="20"/>
        </w:rPr>
        <w:t>242</w:t>
      </w:r>
      <w:r w:rsidR="00857683" w:rsidRPr="003F01E8">
        <w:rPr>
          <w:rFonts w:ascii="Calibri" w:hAnsi="Calibri" w:cs="Arial"/>
          <w:sz w:val="20"/>
          <w:szCs w:val="20"/>
        </w:rPr>
        <w:t xml:space="preserve"> tis. Kč. </w:t>
      </w:r>
      <w:r>
        <w:rPr>
          <w:rFonts w:ascii="Calibri" w:hAnsi="Calibri" w:cs="Arial"/>
          <w:sz w:val="20"/>
          <w:szCs w:val="20"/>
        </w:rPr>
        <w:t xml:space="preserve">Stipendijní fond byl čerpán </w:t>
      </w:r>
      <w:r w:rsidR="00631DD6">
        <w:rPr>
          <w:rFonts w:ascii="Calibri" w:hAnsi="Calibri" w:cs="Arial"/>
          <w:sz w:val="20"/>
          <w:szCs w:val="20"/>
        </w:rPr>
        <w:t xml:space="preserve">na podporu </w:t>
      </w:r>
      <w:r w:rsidR="003165D7">
        <w:rPr>
          <w:rFonts w:ascii="Calibri" w:hAnsi="Calibri" w:cs="Arial"/>
          <w:sz w:val="20"/>
          <w:szCs w:val="20"/>
        </w:rPr>
        <w:t>studia v zahraničí</w:t>
      </w:r>
      <w:r w:rsidR="00631DD6">
        <w:rPr>
          <w:rFonts w:ascii="Calibri" w:hAnsi="Calibri" w:cs="Arial"/>
          <w:sz w:val="20"/>
          <w:szCs w:val="20"/>
        </w:rPr>
        <w:t xml:space="preserve"> ve výši 2</w:t>
      </w:r>
      <w:r w:rsidR="00166F7E">
        <w:rPr>
          <w:rFonts w:ascii="Calibri" w:hAnsi="Calibri" w:cs="Arial"/>
          <w:sz w:val="20"/>
          <w:szCs w:val="20"/>
        </w:rPr>
        <w:t> </w:t>
      </w:r>
      <w:r w:rsidR="00803A0B">
        <w:rPr>
          <w:rFonts w:ascii="Calibri" w:hAnsi="Calibri" w:cs="Arial"/>
          <w:sz w:val="20"/>
          <w:szCs w:val="20"/>
        </w:rPr>
        <w:t>012</w:t>
      </w:r>
      <w:r w:rsidR="00166F7E">
        <w:rPr>
          <w:rFonts w:ascii="Calibri" w:hAnsi="Calibri" w:cs="Arial"/>
          <w:sz w:val="20"/>
          <w:szCs w:val="20"/>
        </w:rPr>
        <w:t xml:space="preserve"> </w:t>
      </w:r>
      <w:r w:rsidR="00631DD6">
        <w:rPr>
          <w:rFonts w:ascii="Calibri" w:hAnsi="Calibri" w:cs="Arial"/>
          <w:sz w:val="20"/>
          <w:szCs w:val="20"/>
        </w:rPr>
        <w:t>tis</w:t>
      </w:r>
      <w:r w:rsidR="003165D7">
        <w:rPr>
          <w:rFonts w:ascii="Calibri" w:hAnsi="Calibri" w:cs="Arial"/>
          <w:sz w:val="20"/>
          <w:szCs w:val="20"/>
        </w:rPr>
        <w:t xml:space="preserve"> </w:t>
      </w:r>
      <w:proofErr w:type="gramStart"/>
      <w:r w:rsidR="003165D7">
        <w:rPr>
          <w:rFonts w:ascii="Calibri" w:hAnsi="Calibri" w:cs="Arial"/>
          <w:sz w:val="20"/>
          <w:szCs w:val="20"/>
        </w:rPr>
        <w:t>Kč</w:t>
      </w:r>
      <w:r w:rsidR="00631DD6">
        <w:rPr>
          <w:rFonts w:ascii="Calibri" w:hAnsi="Calibri" w:cs="Arial"/>
          <w:sz w:val="20"/>
          <w:szCs w:val="20"/>
        </w:rPr>
        <w:t xml:space="preserve">., </w:t>
      </w:r>
      <w:r>
        <w:rPr>
          <w:rFonts w:ascii="Calibri" w:hAnsi="Calibri" w:cs="Arial"/>
          <w:sz w:val="20"/>
          <w:szCs w:val="20"/>
        </w:rPr>
        <w:t xml:space="preserve"> </w:t>
      </w:r>
      <w:r w:rsidR="00631DD6">
        <w:rPr>
          <w:rFonts w:ascii="Calibri" w:hAnsi="Calibri" w:cs="Arial"/>
          <w:sz w:val="20"/>
          <w:szCs w:val="20"/>
        </w:rPr>
        <w:t>na</w:t>
      </w:r>
      <w:proofErr w:type="gramEnd"/>
      <w:r w:rsidR="00631DD6">
        <w:rPr>
          <w:rFonts w:ascii="Calibri" w:hAnsi="Calibri" w:cs="Arial"/>
          <w:sz w:val="20"/>
          <w:szCs w:val="20"/>
        </w:rPr>
        <w:t xml:space="preserve"> podporu výuky doktora</w:t>
      </w:r>
      <w:r w:rsidR="00166F7E">
        <w:rPr>
          <w:rFonts w:ascii="Calibri" w:hAnsi="Calibri" w:cs="Arial"/>
          <w:sz w:val="20"/>
          <w:szCs w:val="20"/>
        </w:rPr>
        <w:t>n</w:t>
      </w:r>
      <w:r w:rsidR="00631DD6">
        <w:rPr>
          <w:rFonts w:ascii="Calibri" w:hAnsi="Calibri" w:cs="Arial"/>
          <w:sz w:val="20"/>
          <w:szCs w:val="20"/>
        </w:rPr>
        <w:t xml:space="preserve">dy </w:t>
      </w:r>
      <w:r w:rsidR="003165D7">
        <w:rPr>
          <w:rFonts w:ascii="Calibri" w:hAnsi="Calibri" w:cs="Arial"/>
          <w:sz w:val="20"/>
          <w:szCs w:val="20"/>
        </w:rPr>
        <w:t>5 137</w:t>
      </w:r>
      <w:r w:rsidR="00631DD6">
        <w:rPr>
          <w:rFonts w:ascii="Calibri" w:hAnsi="Calibri" w:cs="Arial"/>
          <w:sz w:val="20"/>
          <w:szCs w:val="20"/>
        </w:rPr>
        <w:t xml:space="preserve"> tis</w:t>
      </w:r>
      <w:r w:rsidR="00803A0B">
        <w:rPr>
          <w:rFonts w:ascii="Calibri" w:hAnsi="Calibri" w:cs="Arial"/>
          <w:sz w:val="20"/>
          <w:szCs w:val="20"/>
        </w:rPr>
        <w:t xml:space="preserve"> Kč</w:t>
      </w:r>
      <w:r w:rsidR="00631DD6">
        <w:rPr>
          <w:rFonts w:ascii="Calibri" w:hAnsi="Calibri" w:cs="Arial"/>
          <w:sz w:val="20"/>
          <w:szCs w:val="20"/>
        </w:rPr>
        <w:t xml:space="preserve">., </w:t>
      </w:r>
      <w:r w:rsidR="00803A0B">
        <w:rPr>
          <w:rFonts w:ascii="Calibri" w:hAnsi="Calibri" w:cs="Arial"/>
          <w:sz w:val="20"/>
          <w:szCs w:val="20"/>
        </w:rPr>
        <w:t>za vynikající tvůrčí výsledky 23 tis. Kč, na případy zvláštního zřetele hodných ve výši 1 898 tis. Kč a ostatní 172 tis. Kč</w:t>
      </w:r>
    </w:p>
    <w:p w:rsidR="003761F4" w:rsidRDefault="003761F4" w:rsidP="00857683">
      <w:pPr>
        <w:jc w:val="both"/>
        <w:rPr>
          <w:rFonts w:ascii="Calibri" w:hAnsi="Calibri" w:cs="Arial"/>
          <w:sz w:val="20"/>
          <w:szCs w:val="20"/>
        </w:rPr>
      </w:pPr>
    </w:p>
    <w:p w:rsidR="003761F4" w:rsidRDefault="003761F4" w:rsidP="00857683">
      <w:pPr>
        <w:jc w:val="both"/>
        <w:rPr>
          <w:rFonts w:ascii="Calibri" w:hAnsi="Calibri" w:cs="Arial"/>
          <w:sz w:val="20"/>
          <w:szCs w:val="20"/>
        </w:rPr>
      </w:pPr>
    </w:p>
    <w:p w:rsidR="003761F4" w:rsidRPr="00C246A7" w:rsidRDefault="001C69E8" w:rsidP="00857683">
      <w:pPr>
        <w:jc w:val="both"/>
        <w:rPr>
          <w:rFonts w:ascii="Calibri" w:hAnsi="Calibri" w:cs="Arial"/>
          <w:b/>
          <w:sz w:val="18"/>
          <w:szCs w:val="20"/>
        </w:rPr>
      </w:pPr>
      <w:r w:rsidRPr="001C69E8">
        <w:rPr>
          <w:rFonts w:ascii="Calibri" w:hAnsi="Calibri" w:cs="Arial"/>
          <w:b/>
          <w:sz w:val="20"/>
          <w:szCs w:val="20"/>
        </w:rPr>
        <w:t>STA</w:t>
      </w:r>
      <w:r w:rsidR="003761F4" w:rsidRPr="001C69E8">
        <w:rPr>
          <w:rFonts w:ascii="Calibri" w:hAnsi="Calibri" w:cs="Arial"/>
          <w:b/>
          <w:sz w:val="20"/>
          <w:szCs w:val="20"/>
        </w:rPr>
        <w:t>V POHYBU MAJETKU A ZÁVAZK</w:t>
      </w:r>
      <w:r w:rsidR="00C246A7">
        <w:rPr>
          <w:rFonts w:ascii="Calibri" w:hAnsi="Calibri" w:cs="Arial"/>
          <w:b/>
          <w:sz w:val="18"/>
          <w:szCs w:val="20"/>
        </w:rPr>
        <w:t>Ů</w:t>
      </w:r>
    </w:p>
    <w:p w:rsidR="001649B9" w:rsidRDefault="001649B9" w:rsidP="00857683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Fakulta má svěřeny ve správě budovy </w:t>
      </w:r>
      <w:proofErr w:type="spellStart"/>
      <w:r>
        <w:rPr>
          <w:rFonts w:ascii="Calibri" w:hAnsi="Calibri" w:cs="Arial"/>
          <w:sz w:val="20"/>
          <w:szCs w:val="20"/>
        </w:rPr>
        <w:t>Hollar</w:t>
      </w:r>
      <w:proofErr w:type="spellEnd"/>
      <w:r>
        <w:rPr>
          <w:rFonts w:ascii="Calibri" w:hAnsi="Calibri" w:cs="Arial"/>
          <w:sz w:val="20"/>
          <w:szCs w:val="20"/>
        </w:rPr>
        <w:t xml:space="preserve"> na Smetanově nábřeží</w:t>
      </w:r>
      <w:r w:rsidR="00080B63">
        <w:rPr>
          <w:rFonts w:ascii="Calibri" w:hAnsi="Calibri" w:cs="Arial"/>
          <w:sz w:val="20"/>
          <w:szCs w:val="20"/>
        </w:rPr>
        <w:t xml:space="preserve"> 6</w:t>
      </w:r>
      <w:r>
        <w:rPr>
          <w:rFonts w:ascii="Calibri" w:hAnsi="Calibri" w:cs="Arial"/>
          <w:sz w:val="20"/>
          <w:szCs w:val="20"/>
        </w:rPr>
        <w:t xml:space="preserve"> a budovu v Opletalově ulici č. 26. Další prostory, které fakulta využívá, jsou ve správě Univerzity Karlovy a fakulta platí náklady spojené s provozem budov.</w:t>
      </w:r>
    </w:p>
    <w:p w:rsidR="001649B9" w:rsidRPr="003F01E8" w:rsidRDefault="001649B9" w:rsidP="00857683">
      <w:pPr>
        <w:jc w:val="both"/>
        <w:rPr>
          <w:rFonts w:ascii="Calibri" w:hAnsi="Calibri" w:cs="Arial"/>
          <w:sz w:val="20"/>
          <w:szCs w:val="20"/>
        </w:rPr>
      </w:pPr>
    </w:p>
    <w:p w:rsidR="00857683" w:rsidRPr="003F01E8" w:rsidRDefault="00857683" w:rsidP="00857683">
      <w:pPr>
        <w:jc w:val="both"/>
        <w:rPr>
          <w:rFonts w:ascii="Calibri" w:hAnsi="Calibri" w:cs="Arial"/>
          <w:sz w:val="20"/>
          <w:szCs w:val="20"/>
        </w:rPr>
      </w:pPr>
    </w:p>
    <w:p w:rsidR="00857683" w:rsidRDefault="00D10447" w:rsidP="00857683">
      <w:pPr>
        <w:pStyle w:val="Nadpis3"/>
        <w:spacing w:befor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VNITŘNÍ KONTROLNÍ SYSTÉM</w:t>
      </w:r>
    </w:p>
    <w:p w:rsidR="009E078C" w:rsidRDefault="00D10447" w:rsidP="00991141">
      <w:pPr>
        <w:jc w:val="both"/>
        <w:rPr>
          <w:rFonts w:ascii="Calibri" w:hAnsi="Calibri" w:cs="Arial"/>
          <w:sz w:val="20"/>
          <w:szCs w:val="20"/>
        </w:rPr>
      </w:pPr>
      <w:r w:rsidRPr="00D10447">
        <w:rPr>
          <w:rFonts w:ascii="Calibri" w:hAnsi="Calibri" w:cs="Arial"/>
          <w:sz w:val="20"/>
          <w:szCs w:val="20"/>
        </w:rPr>
        <w:t xml:space="preserve">Na </w:t>
      </w:r>
      <w:r>
        <w:rPr>
          <w:rFonts w:ascii="Calibri" w:hAnsi="Calibri" w:cs="Arial"/>
          <w:sz w:val="20"/>
          <w:szCs w:val="20"/>
        </w:rPr>
        <w:t>Fakultě sociálních věd je</w:t>
      </w:r>
      <w:r w:rsidRPr="00D10447">
        <w:rPr>
          <w:rFonts w:ascii="Calibri" w:hAnsi="Calibri" w:cs="Arial"/>
          <w:sz w:val="20"/>
          <w:szCs w:val="20"/>
        </w:rPr>
        <w:t xml:space="preserve"> zaveden vnitřní kontrolní systém</w:t>
      </w:r>
      <w:r w:rsidR="0097588F">
        <w:rPr>
          <w:rFonts w:ascii="Calibri" w:hAnsi="Calibri" w:cs="Arial"/>
          <w:sz w:val="20"/>
          <w:szCs w:val="20"/>
        </w:rPr>
        <w:t xml:space="preserve"> p</w:t>
      </w:r>
      <w:r w:rsidR="0097588F" w:rsidRPr="0097588F">
        <w:rPr>
          <w:rFonts w:ascii="Calibri" w:hAnsi="Calibri" w:cs="Arial"/>
          <w:sz w:val="20"/>
          <w:szCs w:val="20"/>
        </w:rPr>
        <w:t>okynem děkana č. 3/2005</w:t>
      </w:r>
      <w:r w:rsidR="0097588F">
        <w:rPr>
          <w:rFonts w:ascii="Calibri" w:hAnsi="Calibri" w:cs="Arial"/>
          <w:sz w:val="20"/>
          <w:szCs w:val="20"/>
        </w:rPr>
        <w:t>.</w:t>
      </w:r>
      <w:r w:rsidR="0097588F" w:rsidRPr="0097588F">
        <w:rPr>
          <w:rFonts w:ascii="Calibri" w:hAnsi="Calibri" w:cs="Arial"/>
          <w:sz w:val="20"/>
          <w:szCs w:val="20"/>
        </w:rPr>
        <w:t xml:space="preserve"> Interní audit a finanční kontrola, schvalovací a kontrolní postupy upravuje Pokyn děkana č. 1/2001</w:t>
      </w:r>
      <w:r w:rsidR="0097588F">
        <w:rPr>
          <w:rFonts w:ascii="Calibri" w:hAnsi="Calibri" w:cs="Arial"/>
          <w:sz w:val="20"/>
          <w:szCs w:val="20"/>
        </w:rPr>
        <w:t xml:space="preserve"> </w:t>
      </w:r>
      <w:r w:rsidR="0097588F" w:rsidRPr="0097588F">
        <w:rPr>
          <w:rFonts w:ascii="Calibri" w:hAnsi="Calibri" w:cs="Arial"/>
          <w:sz w:val="20"/>
          <w:szCs w:val="20"/>
        </w:rPr>
        <w:t>Oprávnění vybraných pracovníků fakulty k nakládání se svěřenými finančními prostředky FSV UK a Opatření děkana č. 33/2014  Směrnice pro oběh účetních do</w:t>
      </w:r>
      <w:r w:rsidR="006A2CC4">
        <w:rPr>
          <w:rFonts w:ascii="Calibri" w:hAnsi="Calibri" w:cs="Arial"/>
          <w:sz w:val="20"/>
          <w:szCs w:val="20"/>
        </w:rPr>
        <w:t xml:space="preserve">kladů na Fakultě sociálních věd, která je od </w:t>
      </w:r>
      <w:proofErr w:type="gramStart"/>
      <w:r w:rsidR="006A2CC4">
        <w:rPr>
          <w:rFonts w:ascii="Calibri" w:hAnsi="Calibri" w:cs="Arial"/>
          <w:sz w:val="20"/>
          <w:szCs w:val="20"/>
        </w:rPr>
        <w:t>2.1.2017</w:t>
      </w:r>
      <w:proofErr w:type="gramEnd"/>
      <w:r w:rsidR="006A2CC4">
        <w:rPr>
          <w:rFonts w:ascii="Calibri" w:hAnsi="Calibri" w:cs="Arial"/>
          <w:sz w:val="20"/>
          <w:szCs w:val="20"/>
        </w:rPr>
        <w:t xml:space="preserve"> nahrazena Opatřením děkana č. 34/2016.</w:t>
      </w:r>
      <w:r w:rsidR="009E078C">
        <w:rPr>
          <w:rFonts w:ascii="Calibri" w:hAnsi="Calibri" w:cs="Arial"/>
          <w:sz w:val="20"/>
          <w:szCs w:val="20"/>
        </w:rPr>
        <w:t xml:space="preserve"> Na d</w:t>
      </w:r>
      <w:r w:rsidR="009E078C" w:rsidRPr="0097588F">
        <w:rPr>
          <w:rFonts w:ascii="Calibri" w:hAnsi="Calibri" w:cs="Arial"/>
          <w:sz w:val="20"/>
          <w:szCs w:val="20"/>
        </w:rPr>
        <w:t xml:space="preserve">oporučení interního auditu </w:t>
      </w:r>
      <w:r w:rsidR="009E078C">
        <w:rPr>
          <w:rFonts w:ascii="Calibri" w:hAnsi="Calibri" w:cs="Arial"/>
          <w:sz w:val="20"/>
          <w:szCs w:val="20"/>
        </w:rPr>
        <w:t>z roku 2015 byla</w:t>
      </w:r>
      <w:r w:rsidR="009E078C" w:rsidRPr="0097588F">
        <w:rPr>
          <w:rFonts w:ascii="Calibri" w:hAnsi="Calibri" w:cs="Arial"/>
          <w:sz w:val="20"/>
          <w:szCs w:val="20"/>
        </w:rPr>
        <w:t xml:space="preserve"> realizována</w:t>
      </w:r>
      <w:r w:rsidR="009E078C">
        <w:rPr>
          <w:rFonts w:ascii="Calibri" w:hAnsi="Calibri" w:cs="Arial"/>
          <w:sz w:val="20"/>
          <w:szCs w:val="20"/>
        </w:rPr>
        <w:t xml:space="preserve"> aktualizace vnitřních opatření děkana, zejména pak aktualizace opatření k cestovním příkazům a již zmíněného oběhu </w:t>
      </w:r>
      <w:r w:rsidR="00BF5ED4">
        <w:rPr>
          <w:rFonts w:ascii="Calibri" w:hAnsi="Calibri" w:cs="Arial"/>
          <w:sz w:val="20"/>
          <w:szCs w:val="20"/>
        </w:rPr>
        <w:t>účetních dokladů</w:t>
      </w:r>
      <w:r w:rsidR="009E078C">
        <w:rPr>
          <w:rFonts w:ascii="Calibri" w:hAnsi="Calibri" w:cs="Arial"/>
          <w:sz w:val="20"/>
          <w:szCs w:val="20"/>
        </w:rPr>
        <w:t>.</w:t>
      </w:r>
    </w:p>
    <w:p w:rsidR="009E078C" w:rsidRDefault="009E078C" w:rsidP="00D10447">
      <w:pPr>
        <w:rPr>
          <w:rFonts w:ascii="Calibri" w:hAnsi="Calibri" w:cs="Arial"/>
          <w:sz w:val="20"/>
          <w:szCs w:val="20"/>
        </w:rPr>
      </w:pPr>
    </w:p>
    <w:p w:rsidR="00D10447" w:rsidRDefault="00D10447" w:rsidP="00991141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Fakulta neměla v roce 201</w:t>
      </w:r>
      <w:r w:rsidR="006A2CC4">
        <w:rPr>
          <w:rFonts w:ascii="Calibri" w:hAnsi="Calibri" w:cs="Arial"/>
          <w:sz w:val="20"/>
          <w:szCs w:val="20"/>
        </w:rPr>
        <w:t>6</w:t>
      </w:r>
      <w:r>
        <w:rPr>
          <w:rFonts w:ascii="Calibri" w:hAnsi="Calibri" w:cs="Arial"/>
          <w:sz w:val="20"/>
          <w:szCs w:val="20"/>
        </w:rPr>
        <w:t xml:space="preserve"> zřízeno vlastní oddělení </w:t>
      </w:r>
      <w:r w:rsidRPr="00D10447">
        <w:rPr>
          <w:rFonts w:ascii="Calibri" w:hAnsi="Calibri" w:cs="Arial"/>
          <w:sz w:val="20"/>
          <w:szCs w:val="20"/>
        </w:rPr>
        <w:t>interní</w:t>
      </w:r>
      <w:r>
        <w:rPr>
          <w:rFonts w:ascii="Calibri" w:hAnsi="Calibri" w:cs="Arial"/>
          <w:sz w:val="20"/>
          <w:szCs w:val="20"/>
        </w:rPr>
        <w:t>ho</w:t>
      </w:r>
      <w:r w:rsidRPr="00D10447">
        <w:rPr>
          <w:rFonts w:ascii="Calibri" w:hAnsi="Calibri" w:cs="Arial"/>
          <w:sz w:val="20"/>
          <w:szCs w:val="20"/>
        </w:rPr>
        <w:t xml:space="preserve"> audit</w:t>
      </w:r>
      <w:r>
        <w:rPr>
          <w:rFonts w:ascii="Calibri" w:hAnsi="Calibri" w:cs="Arial"/>
          <w:sz w:val="20"/>
          <w:szCs w:val="20"/>
        </w:rPr>
        <w:t>u</w:t>
      </w:r>
      <w:r w:rsidRPr="00D10447">
        <w:rPr>
          <w:rFonts w:ascii="Calibri" w:hAnsi="Calibri" w:cs="Arial"/>
          <w:sz w:val="20"/>
          <w:szCs w:val="20"/>
        </w:rPr>
        <w:t xml:space="preserve">. Účinnost </w:t>
      </w:r>
      <w:r>
        <w:rPr>
          <w:rFonts w:ascii="Calibri" w:hAnsi="Calibri" w:cs="Arial"/>
          <w:sz w:val="20"/>
          <w:szCs w:val="20"/>
        </w:rPr>
        <w:t xml:space="preserve">vnitřního kontrolního systému je </w:t>
      </w:r>
      <w:r w:rsidRPr="00D10447">
        <w:rPr>
          <w:rFonts w:ascii="Calibri" w:hAnsi="Calibri" w:cs="Arial"/>
          <w:sz w:val="20"/>
          <w:szCs w:val="20"/>
        </w:rPr>
        <w:t>zajišťována zejména integrovaným nastavením metod</w:t>
      </w:r>
      <w:r>
        <w:rPr>
          <w:rFonts w:ascii="Calibri" w:hAnsi="Calibri" w:cs="Arial"/>
          <w:sz w:val="20"/>
          <w:szCs w:val="20"/>
        </w:rPr>
        <w:t>ických postupů, jednoznač</w:t>
      </w:r>
      <w:r w:rsidRPr="00D10447">
        <w:rPr>
          <w:rFonts w:ascii="Calibri" w:hAnsi="Calibri" w:cs="Arial"/>
          <w:sz w:val="20"/>
          <w:szCs w:val="20"/>
        </w:rPr>
        <w:t xml:space="preserve">ností kompetencí a rolí v rámci liniového a projektového řízení. </w:t>
      </w:r>
    </w:p>
    <w:p w:rsidR="0097588F" w:rsidRDefault="0097588F" w:rsidP="00991141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Ve sledovaném období proběhly následující kontroly:</w:t>
      </w:r>
    </w:p>
    <w:p w:rsidR="006A2CC4" w:rsidRPr="006A2CC4" w:rsidRDefault="006A2CC4" w:rsidP="006A2CC4">
      <w:pPr>
        <w:pStyle w:val="Odstavecseseznamem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6A2CC4">
        <w:rPr>
          <w:rFonts w:ascii="Calibri" w:hAnsi="Calibri" w:cs="Arial"/>
          <w:sz w:val="20"/>
          <w:szCs w:val="20"/>
        </w:rPr>
        <w:t xml:space="preserve">MŠMT – OP </w:t>
      </w:r>
      <w:proofErr w:type="spellStart"/>
      <w:r w:rsidRPr="006A2CC4">
        <w:rPr>
          <w:rFonts w:ascii="Calibri" w:hAnsi="Calibri" w:cs="Arial"/>
          <w:sz w:val="20"/>
          <w:szCs w:val="20"/>
        </w:rPr>
        <w:t>VaVpI</w:t>
      </w:r>
      <w:proofErr w:type="spellEnd"/>
    </w:p>
    <w:p w:rsidR="006A2CC4" w:rsidRPr="006A2CC4" w:rsidRDefault="006A2CC4" w:rsidP="006A2CC4">
      <w:pPr>
        <w:ind w:firstLine="708"/>
        <w:rPr>
          <w:rFonts w:ascii="Calibri" w:hAnsi="Calibri" w:cs="Arial"/>
          <w:sz w:val="20"/>
          <w:szCs w:val="20"/>
        </w:rPr>
      </w:pPr>
      <w:r w:rsidRPr="006A2CC4">
        <w:rPr>
          <w:rFonts w:ascii="Calibri" w:hAnsi="Calibri" w:cs="Arial"/>
          <w:sz w:val="20"/>
          <w:szCs w:val="20"/>
        </w:rPr>
        <w:t xml:space="preserve">Projekt: Rozvoj </w:t>
      </w:r>
      <w:proofErr w:type="spellStart"/>
      <w:r w:rsidRPr="006A2CC4">
        <w:rPr>
          <w:rFonts w:ascii="Calibri" w:hAnsi="Calibri" w:cs="Arial"/>
          <w:sz w:val="20"/>
          <w:szCs w:val="20"/>
        </w:rPr>
        <w:t>knohovních</w:t>
      </w:r>
      <w:proofErr w:type="spellEnd"/>
      <w:r w:rsidRPr="006A2CC4">
        <w:rPr>
          <w:rFonts w:ascii="Calibri" w:hAnsi="Calibri" w:cs="Arial"/>
          <w:sz w:val="20"/>
          <w:szCs w:val="20"/>
        </w:rPr>
        <w:t xml:space="preserve"> a IT systémů FSV UK</w:t>
      </w:r>
    </w:p>
    <w:p w:rsidR="006A2CC4" w:rsidRPr="006A2CC4" w:rsidRDefault="006A2CC4" w:rsidP="006A2CC4">
      <w:pPr>
        <w:ind w:firstLine="708"/>
        <w:rPr>
          <w:rFonts w:ascii="Calibri" w:hAnsi="Calibri" w:cs="Arial"/>
          <w:sz w:val="20"/>
          <w:szCs w:val="20"/>
        </w:rPr>
      </w:pPr>
      <w:r w:rsidRPr="006A2CC4">
        <w:rPr>
          <w:rFonts w:ascii="Calibri" w:hAnsi="Calibri" w:cs="Arial"/>
          <w:sz w:val="20"/>
          <w:szCs w:val="20"/>
        </w:rPr>
        <w:t>Kontrolované období ŽOPL č. 1-6</w:t>
      </w:r>
    </w:p>
    <w:p w:rsidR="006A2CC4" w:rsidRPr="006A2CC4" w:rsidRDefault="006A2CC4" w:rsidP="006A2CC4">
      <w:pPr>
        <w:rPr>
          <w:rFonts w:ascii="Calibri" w:hAnsi="Calibri" w:cs="Arial"/>
          <w:sz w:val="20"/>
          <w:szCs w:val="20"/>
        </w:rPr>
      </w:pPr>
    </w:p>
    <w:p w:rsidR="006A2CC4" w:rsidRPr="006A2CC4" w:rsidRDefault="006A2CC4" w:rsidP="006A2CC4">
      <w:pPr>
        <w:pStyle w:val="Odstavecseseznamem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6A2CC4">
        <w:rPr>
          <w:rFonts w:ascii="Calibri" w:hAnsi="Calibri" w:cs="Arial"/>
          <w:sz w:val="20"/>
          <w:szCs w:val="20"/>
        </w:rPr>
        <w:t>Ministerstvo financí - OPPA</w:t>
      </w:r>
    </w:p>
    <w:p w:rsidR="006A2CC4" w:rsidRPr="006A2CC4" w:rsidRDefault="006A2CC4" w:rsidP="006A2CC4">
      <w:pPr>
        <w:ind w:left="708"/>
        <w:rPr>
          <w:rFonts w:ascii="Calibri" w:hAnsi="Calibri" w:cs="Arial"/>
          <w:sz w:val="20"/>
          <w:szCs w:val="20"/>
        </w:rPr>
      </w:pPr>
      <w:r w:rsidRPr="006A2CC4">
        <w:rPr>
          <w:rFonts w:ascii="Calibri" w:hAnsi="Calibri" w:cs="Arial"/>
          <w:sz w:val="20"/>
          <w:szCs w:val="20"/>
        </w:rPr>
        <w:t>Audit projektu „Aplikovaný výzkum v oboru politologie a jeho využití v praxi: zkvalitnění profesní orientace studentů bakalářského prezenčního oboru Politologie a mezinárodní vztahy“</w:t>
      </w:r>
    </w:p>
    <w:p w:rsidR="006A2CC4" w:rsidRPr="006A2CC4" w:rsidRDefault="006A2CC4" w:rsidP="006A2CC4">
      <w:pPr>
        <w:rPr>
          <w:rFonts w:ascii="Calibri" w:hAnsi="Calibri" w:cs="Arial"/>
          <w:sz w:val="20"/>
          <w:szCs w:val="20"/>
        </w:rPr>
      </w:pPr>
    </w:p>
    <w:p w:rsidR="006A2CC4" w:rsidRPr="006A2CC4" w:rsidRDefault="006A2CC4" w:rsidP="006A2CC4">
      <w:pPr>
        <w:pStyle w:val="Odstavecseseznamem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6A2CC4">
        <w:rPr>
          <w:rFonts w:ascii="Calibri" w:hAnsi="Calibri" w:cs="Arial"/>
          <w:sz w:val="20"/>
          <w:szCs w:val="20"/>
        </w:rPr>
        <w:t>INTEREXPERT neziskový sektor s.r.o.</w:t>
      </w:r>
    </w:p>
    <w:p w:rsidR="006A2CC4" w:rsidRPr="006A2CC4" w:rsidRDefault="006A2CC4" w:rsidP="006A2CC4">
      <w:pPr>
        <w:ind w:firstLine="708"/>
        <w:rPr>
          <w:rFonts w:ascii="Calibri" w:hAnsi="Calibri" w:cs="Arial"/>
          <w:sz w:val="20"/>
          <w:szCs w:val="20"/>
        </w:rPr>
      </w:pPr>
      <w:r w:rsidRPr="006A2CC4">
        <w:rPr>
          <w:rFonts w:ascii="Calibri" w:hAnsi="Calibri" w:cs="Arial"/>
          <w:sz w:val="20"/>
          <w:szCs w:val="20"/>
        </w:rPr>
        <w:t xml:space="preserve">Audit projektu „V4 and </w:t>
      </w:r>
      <w:proofErr w:type="spellStart"/>
      <w:r w:rsidRPr="006A2CC4">
        <w:rPr>
          <w:rFonts w:ascii="Calibri" w:hAnsi="Calibri" w:cs="Arial"/>
          <w:sz w:val="20"/>
          <w:szCs w:val="20"/>
        </w:rPr>
        <w:t>Turkey</w:t>
      </w:r>
      <w:proofErr w:type="spellEnd"/>
      <w:r w:rsidRPr="006A2CC4">
        <w:rPr>
          <w:rFonts w:ascii="Calibri" w:hAnsi="Calibri" w:cs="Arial"/>
          <w:sz w:val="20"/>
          <w:szCs w:val="20"/>
        </w:rPr>
        <w:t xml:space="preserve">: </w:t>
      </w:r>
      <w:proofErr w:type="spellStart"/>
      <w:r w:rsidRPr="006A2CC4">
        <w:rPr>
          <w:rFonts w:ascii="Calibri" w:hAnsi="Calibri" w:cs="Arial"/>
          <w:sz w:val="20"/>
          <w:szCs w:val="20"/>
        </w:rPr>
        <w:t>Foreign</w:t>
      </w:r>
      <w:proofErr w:type="spellEnd"/>
      <w:r w:rsidRPr="006A2CC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A2CC4">
        <w:rPr>
          <w:rFonts w:ascii="Calibri" w:hAnsi="Calibri" w:cs="Arial"/>
          <w:sz w:val="20"/>
          <w:szCs w:val="20"/>
        </w:rPr>
        <w:t>Policy</w:t>
      </w:r>
      <w:proofErr w:type="spellEnd"/>
      <w:r w:rsidRPr="006A2CC4">
        <w:rPr>
          <w:rFonts w:ascii="Calibri" w:hAnsi="Calibri" w:cs="Arial"/>
          <w:sz w:val="20"/>
          <w:szCs w:val="20"/>
        </w:rPr>
        <w:t xml:space="preserve"> and </w:t>
      </w:r>
      <w:proofErr w:type="spellStart"/>
      <w:r w:rsidRPr="006A2CC4">
        <w:rPr>
          <w:rFonts w:ascii="Calibri" w:hAnsi="Calibri" w:cs="Arial"/>
          <w:sz w:val="20"/>
          <w:szCs w:val="20"/>
        </w:rPr>
        <w:t>Development</w:t>
      </w:r>
      <w:proofErr w:type="spellEnd"/>
      <w:r w:rsidRPr="006A2CC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A2CC4">
        <w:rPr>
          <w:rFonts w:ascii="Calibri" w:hAnsi="Calibri" w:cs="Arial"/>
          <w:sz w:val="20"/>
          <w:szCs w:val="20"/>
        </w:rPr>
        <w:t>Assistance</w:t>
      </w:r>
      <w:proofErr w:type="spellEnd"/>
      <w:r w:rsidRPr="006A2CC4">
        <w:rPr>
          <w:rFonts w:ascii="Calibri" w:hAnsi="Calibri" w:cs="Arial"/>
          <w:sz w:val="20"/>
          <w:szCs w:val="20"/>
        </w:rPr>
        <w:t xml:space="preserve"> in EU </w:t>
      </w:r>
      <w:proofErr w:type="spellStart"/>
      <w:r w:rsidRPr="006A2CC4">
        <w:rPr>
          <w:rFonts w:ascii="Calibri" w:hAnsi="Calibri" w:cs="Arial"/>
          <w:sz w:val="20"/>
          <w:szCs w:val="20"/>
        </w:rPr>
        <w:t>Neighbourhoods</w:t>
      </w:r>
      <w:proofErr w:type="spellEnd"/>
      <w:r w:rsidRPr="006A2CC4">
        <w:rPr>
          <w:rFonts w:ascii="Calibri" w:hAnsi="Calibri" w:cs="Arial"/>
          <w:sz w:val="20"/>
          <w:szCs w:val="20"/>
        </w:rPr>
        <w:t>“</w:t>
      </w:r>
    </w:p>
    <w:p w:rsidR="0097588F" w:rsidRDefault="0097588F" w:rsidP="006A2CC4">
      <w:pPr>
        <w:ind w:left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Žádné z uvedených kontrol neshledala závažné pochybení, na základě realizovaných zjištění fakulta </w:t>
      </w:r>
      <w:r w:rsidR="00080B63">
        <w:rPr>
          <w:rFonts w:ascii="Calibri" w:hAnsi="Calibri" w:cs="Arial"/>
          <w:sz w:val="20"/>
          <w:szCs w:val="20"/>
        </w:rPr>
        <w:t xml:space="preserve">zavedla </w:t>
      </w:r>
      <w:r>
        <w:rPr>
          <w:rFonts w:ascii="Calibri" w:hAnsi="Calibri" w:cs="Arial"/>
          <w:sz w:val="20"/>
          <w:szCs w:val="20"/>
        </w:rPr>
        <w:t>doporučená opatření.</w:t>
      </w:r>
    </w:p>
    <w:p w:rsidR="0097588F" w:rsidRDefault="0097588F" w:rsidP="0097588F">
      <w:pPr>
        <w:rPr>
          <w:rFonts w:ascii="Calibri" w:hAnsi="Calibri" w:cs="Arial"/>
          <w:sz w:val="20"/>
          <w:szCs w:val="20"/>
        </w:rPr>
      </w:pPr>
    </w:p>
    <w:p w:rsidR="0097588F" w:rsidRPr="0097588F" w:rsidRDefault="0097588F" w:rsidP="00991141">
      <w:pPr>
        <w:widowControl w:val="0"/>
        <w:suppressAutoHyphens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Fakulta sociálních věd bude i v roce 2016 pokračovat v posilování vnitřního kontrolního systému především aktualizací vnitřních předpisů.</w:t>
      </w:r>
    </w:p>
    <w:p w:rsidR="0097588F" w:rsidRDefault="0097588F" w:rsidP="0097588F">
      <w:pPr>
        <w:rPr>
          <w:rFonts w:ascii="Calibri" w:hAnsi="Calibri" w:cs="Arial"/>
          <w:sz w:val="20"/>
          <w:szCs w:val="20"/>
        </w:rPr>
      </w:pPr>
    </w:p>
    <w:p w:rsidR="00080B63" w:rsidRDefault="00080B63" w:rsidP="0097588F">
      <w:pPr>
        <w:rPr>
          <w:rFonts w:ascii="Calibri" w:hAnsi="Calibri" w:cs="Arial"/>
          <w:sz w:val="20"/>
          <w:szCs w:val="20"/>
        </w:rPr>
      </w:pPr>
    </w:p>
    <w:p w:rsidR="00080B63" w:rsidRPr="0097588F" w:rsidRDefault="00080B63" w:rsidP="0097588F">
      <w:pPr>
        <w:rPr>
          <w:rFonts w:ascii="Calibri" w:hAnsi="Calibri" w:cs="Arial"/>
          <w:sz w:val="20"/>
          <w:szCs w:val="20"/>
        </w:rPr>
      </w:pPr>
    </w:p>
    <w:p w:rsidR="0097588F" w:rsidRPr="0097588F" w:rsidRDefault="0097588F" w:rsidP="0097588F">
      <w:pPr>
        <w:rPr>
          <w:rFonts w:ascii="Calibri" w:hAnsi="Calibri" w:cs="Arial"/>
          <w:sz w:val="20"/>
          <w:szCs w:val="20"/>
        </w:rPr>
      </w:pPr>
    </w:p>
    <w:p w:rsidR="00857683" w:rsidRPr="003F01E8" w:rsidRDefault="00665F8F" w:rsidP="00857683">
      <w:pPr>
        <w:pStyle w:val="Nadpis3"/>
        <w:spacing w:befor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Mgr. </w:t>
      </w:r>
      <w:r w:rsidR="00BF5ED4">
        <w:rPr>
          <w:rFonts w:ascii="Calibri" w:hAnsi="Calibri"/>
          <w:sz w:val="20"/>
          <w:szCs w:val="20"/>
        </w:rPr>
        <w:t xml:space="preserve">Tomáš </w:t>
      </w:r>
      <w:proofErr w:type="spellStart"/>
      <w:r w:rsidR="00BF5ED4">
        <w:rPr>
          <w:rFonts w:ascii="Calibri" w:hAnsi="Calibri"/>
          <w:sz w:val="20"/>
          <w:szCs w:val="20"/>
        </w:rPr>
        <w:t>Gec</w:t>
      </w:r>
      <w:proofErr w:type="spellEnd"/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</w:p>
    <w:p w:rsidR="00857683" w:rsidRPr="003F01E8" w:rsidRDefault="00BF5ED4" w:rsidP="00857683">
      <w:pPr>
        <w:pStyle w:val="Nadpis3"/>
        <w:spacing w:befor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tajemník</w:t>
      </w:r>
      <w:r w:rsidR="00857683" w:rsidRPr="003F01E8">
        <w:rPr>
          <w:rFonts w:ascii="Calibri" w:hAnsi="Calibri"/>
          <w:sz w:val="20"/>
          <w:szCs w:val="20"/>
        </w:rPr>
        <w:t xml:space="preserve"> fakulty</w:t>
      </w:r>
    </w:p>
    <w:p w:rsidR="00F73F19" w:rsidRPr="003F01E8" w:rsidRDefault="00F73F19">
      <w:pPr>
        <w:rPr>
          <w:sz w:val="20"/>
          <w:szCs w:val="20"/>
        </w:rPr>
      </w:pPr>
    </w:p>
    <w:sectPr w:rsidR="00F73F19" w:rsidRPr="003F01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98" w:rsidRDefault="00F97098" w:rsidP="00AC55A2">
      <w:r>
        <w:separator/>
      </w:r>
    </w:p>
  </w:endnote>
  <w:endnote w:type="continuationSeparator" w:id="0">
    <w:p w:rsidR="00F97098" w:rsidRDefault="00F97098" w:rsidP="00A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A2" w:rsidRPr="00AC55A2" w:rsidRDefault="00AC55A2" w:rsidP="00AC55A2">
    <w:pPr>
      <w:pStyle w:val="Zpat"/>
      <w:jc w:val="center"/>
      <w:rPr>
        <w:rFonts w:asciiTheme="minorHAnsi" w:hAnsiTheme="minorHAnsi"/>
        <w:sz w:val="18"/>
      </w:rPr>
    </w:pPr>
    <w:r w:rsidRPr="00AC55A2">
      <w:rPr>
        <w:rFonts w:asciiTheme="minorHAnsi" w:hAnsiTheme="minorHAnsi"/>
        <w:b/>
        <w:sz w:val="18"/>
      </w:rPr>
      <w:fldChar w:fldCharType="begin"/>
    </w:r>
    <w:r w:rsidRPr="00AC55A2">
      <w:rPr>
        <w:rFonts w:asciiTheme="minorHAnsi" w:hAnsiTheme="minorHAnsi"/>
        <w:b/>
        <w:sz w:val="18"/>
      </w:rPr>
      <w:instrText>PAGE  \* Arabic  \* MERGEFORMAT</w:instrText>
    </w:r>
    <w:r w:rsidRPr="00AC55A2">
      <w:rPr>
        <w:rFonts w:asciiTheme="minorHAnsi" w:hAnsiTheme="minorHAnsi"/>
        <w:b/>
        <w:sz w:val="18"/>
      </w:rPr>
      <w:fldChar w:fldCharType="separate"/>
    </w:r>
    <w:r w:rsidR="000B2BB8">
      <w:rPr>
        <w:rFonts w:asciiTheme="minorHAnsi" w:hAnsiTheme="minorHAnsi"/>
        <w:b/>
        <w:noProof/>
        <w:sz w:val="18"/>
      </w:rPr>
      <w:t>3</w:t>
    </w:r>
    <w:r w:rsidRPr="00AC55A2">
      <w:rPr>
        <w:rFonts w:asciiTheme="minorHAnsi" w:hAnsiTheme="minorHAnsi"/>
        <w:b/>
        <w:sz w:val="18"/>
      </w:rPr>
      <w:fldChar w:fldCharType="end"/>
    </w:r>
    <w:r w:rsidRPr="00AC55A2">
      <w:rPr>
        <w:rFonts w:asciiTheme="minorHAnsi" w:hAnsiTheme="minorHAns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98" w:rsidRDefault="00F97098" w:rsidP="00AC55A2">
      <w:r>
        <w:separator/>
      </w:r>
    </w:p>
  </w:footnote>
  <w:footnote w:type="continuationSeparator" w:id="0">
    <w:p w:rsidR="00F97098" w:rsidRDefault="00F97098" w:rsidP="00AC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1DB"/>
    <w:multiLevelType w:val="hybridMultilevel"/>
    <w:tmpl w:val="950C66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C0A2A"/>
    <w:multiLevelType w:val="hybridMultilevel"/>
    <w:tmpl w:val="25F6C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83"/>
    <w:rsid w:val="00080B63"/>
    <w:rsid w:val="000B2BB8"/>
    <w:rsid w:val="00114A19"/>
    <w:rsid w:val="001649B9"/>
    <w:rsid w:val="00166F7E"/>
    <w:rsid w:val="00177E48"/>
    <w:rsid w:val="001C69E8"/>
    <w:rsid w:val="00230C50"/>
    <w:rsid w:val="002552FB"/>
    <w:rsid w:val="00267D66"/>
    <w:rsid w:val="002F646B"/>
    <w:rsid w:val="003165D7"/>
    <w:rsid w:val="003761F4"/>
    <w:rsid w:val="00376B4C"/>
    <w:rsid w:val="003875A3"/>
    <w:rsid w:val="003D2A8B"/>
    <w:rsid w:val="003F01E8"/>
    <w:rsid w:val="00440DAB"/>
    <w:rsid w:val="00461C49"/>
    <w:rsid w:val="005248D0"/>
    <w:rsid w:val="0055452D"/>
    <w:rsid w:val="00575B30"/>
    <w:rsid w:val="005B5DE4"/>
    <w:rsid w:val="00631DD6"/>
    <w:rsid w:val="00665F8F"/>
    <w:rsid w:val="006A2CC4"/>
    <w:rsid w:val="006B3D42"/>
    <w:rsid w:val="007217A2"/>
    <w:rsid w:val="0072402C"/>
    <w:rsid w:val="007249FD"/>
    <w:rsid w:val="007A7E6B"/>
    <w:rsid w:val="007F1398"/>
    <w:rsid w:val="00803A0B"/>
    <w:rsid w:val="00857683"/>
    <w:rsid w:val="00862E9D"/>
    <w:rsid w:val="00872A6E"/>
    <w:rsid w:val="00891E57"/>
    <w:rsid w:val="00891ED3"/>
    <w:rsid w:val="00940EC9"/>
    <w:rsid w:val="009501E4"/>
    <w:rsid w:val="0097588F"/>
    <w:rsid w:val="00991141"/>
    <w:rsid w:val="00995AC6"/>
    <w:rsid w:val="009E078C"/>
    <w:rsid w:val="009F56FB"/>
    <w:rsid w:val="00A020F7"/>
    <w:rsid w:val="00A14A70"/>
    <w:rsid w:val="00A316A2"/>
    <w:rsid w:val="00A459FB"/>
    <w:rsid w:val="00A53BBF"/>
    <w:rsid w:val="00A943A7"/>
    <w:rsid w:val="00AA605F"/>
    <w:rsid w:val="00AC55A2"/>
    <w:rsid w:val="00BA3900"/>
    <w:rsid w:val="00BF5ED4"/>
    <w:rsid w:val="00C06DAD"/>
    <w:rsid w:val="00C128D5"/>
    <w:rsid w:val="00C246A7"/>
    <w:rsid w:val="00C311C2"/>
    <w:rsid w:val="00CC02B9"/>
    <w:rsid w:val="00D10447"/>
    <w:rsid w:val="00D35A72"/>
    <w:rsid w:val="00D60B28"/>
    <w:rsid w:val="00D85976"/>
    <w:rsid w:val="00DC0016"/>
    <w:rsid w:val="00E05B44"/>
    <w:rsid w:val="00E40529"/>
    <w:rsid w:val="00E953B2"/>
    <w:rsid w:val="00F32187"/>
    <w:rsid w:val="00F73F19"/>
    <w:rsid w:val="00F939D9"/>
    <w:rsid w:val="00F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BCE9"/>
  <w15:docId w15:val="{40C53C6C-9C07-4FCE-AE28-093CFB1F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857683"/>
    <w:pPr>
      <w:keepNext/>
      <w:spacing w:after="240"/>
      <w:outlineLvl w:val="0"/>
    </w:pPr>
    <w:rPr>
      <w:rFonts w:cs="Arial"/>
      <w:b/>
      <w:bCs/>
      <w:kern w:val="32"/>
      <w:sz w:val="50"/>
      <w:szCs w:val="32"/>
    </w:rPr>
  </w:style>
  <w:style w:type="paragraph" w:styleId="Nadpis3">
    <w:name w:val="heading 3"/>
    <w:aliases w:val="Podkap 3.3.3"/>
    <w:basedOn w:val="Normln"/>
    <w:next w:val="Normln"/>
    <w:link w:val="Nadpis3Char"/>
    <w:qFormat/>
    <w:rsid w:val="00857683"/>
    <w:pPr>
      <w:keepNext/>
      <w:spacing w:before="120" w:after="60"/>
      <w:outlineLvl w:val="2"/>
    </w:pPr>
    <w:rPr>
      <w:rFonts w:cs="Arial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857683"/>
    <w:rPr>
      <w:rFonts w:ascii="Times New Roman" w:eastAsia="Times New Roman" w:hAnsi="Times New Roman" w:cs="Arial"/>
      <w:b/>
      <w:bCs/>
      <w:kern w:val="32"/>
      <w:sz w:val="50"/>
      <w:szCs w:val="32"/>
    </w:rPr>
  </w:style>
  <w:style w:type="character" w:customStyle="1" w:styleId="Nadpis3Char">
    <w:name w:val="Nadpis 3 Char"/>
    <w:aliases w:val="Podkap 3.3.3 Char"/>
    <w:basedOn w:val="Standardnpsmoodstavce"/>
    <w:link w:val="Nadpis3"/>
    <w:rsid w:val="00857683"/>
    <w:rPr>
      <w:rFonts w:ascii="Times New Roman" w:eastAsia="Times New Roman" w:hAnsi="Times New Roman" w:cs="Arial"/>
      <w:b/>
      <w:bCs/>
      <w:sz w:val="28"/>
      <w:szCs w:val="26"/>
    </w:rPr>
  </w:style>
  <w:style w:type="character" w:styleId="Hypertextovodkaz">
    <w:name w:val="Hyperlink"/>
    <w:rsid w:val="00177E48"/>
    <w:rPr>
      <w:rFonts w:ascii="Times New Roman" w:hAnsi="Times New Roman"/>
      <w:b/>
      <w:color w:val="0000FF"/>
      <w:sz w:val="24"/>
      <w:u w:val="single"/>
    </w:rPr>
  </w:style>
  <w:style w:type="character" w:customStyle="1" w:styleId="NormlnKurzva">
    <w:name w:val="Normální Kurzíva"/>
    <w:rsid w:val="00177E48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D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DAD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58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55A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55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5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cuni.cz/webapps/whois2/org/132585010181284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.cuni.cz/webapps/whois2/org/1625929875329548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A228-19C6-4C6D-BE72-BC2D03A0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1444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Eco2</cp:lastModifiedBy>
  <cp:revision>11</cp:revision>
  <cp:lastPrinted>2017-04-27T12:04:00Z</cp:lastPrinted>
  <dcterms:created xsi:type="dcterms:W3CDTF">2017-04-27T16:30:00Z</dcterms:created>
  <dcterms:modified xsi:type="dcterms:W3CDTF">2017-04-27T17:53:00Z</dcterms:modified>
</cp:coreProperties>
</file>