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UNIVERZITA KARLOVA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FAKULTA SOCIÁLNÍCH VĚD</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PRAVIDLA PRO ORGANIZACI STUDIA</w:t>
      </w:r>
      <w:r>
        <w:rPr>
          <w:rFonts w:ascii="Tahoma" w:hAnsi="Tahoma" w:cs="Tahoma"/>
          <w:sz w:val="18"/>
          <w:szCs w:val="18"/>
        </w:rPr>
        <w:t xml:space="preserve"> </w:t>
      </w:r>
      <w:r>
        <w:rPr>
          <w:rFonts w:ascii="Tahoma" w:hAnsi="Tahoma" w:cs="Tahoma"/>
          <w:b/>
          <w:sz w:val="18"/>
          <w:szCs w:val="18"/>
        </w:rPr>
        <w:t xml:space="preserve">NA FAKULTĚ SOCIÁLNÍCH VĚD UNIVERZITY KARLOVY </w:t>
      </w:r>
      <w:r>
        <w:rPr>
          <w:rFonts w:ascii="Tahoma" w:hAnsi="Tahoma" w:cs="Tahoma"/>
          <w:i/>
          <w:sz w:val="18"/>
          <w:szCs w:val="18"/>
        </w:rPr>
        <w:t xml:space="preserve">Akademický senát Fakulty sociálních věd </w:t>
      </w:r>
    </w:p>
    <w:p w:rsidR="005D09CC" w:rsidRDefault="005D09CC">
      <w:pPr>
        <w:pStyle w:val="normal0"/>
        <w:spacing w:after="75" w:line="240" w:lineRule="auto"/>
        <w:jc w:val="center"/>
        <w:rPr>
          <w:rFonts w:ascii="Tahoma" w:hAnsi="Tahoma" w:cs="Tahoma"/>
          <w:sz w:val="18"/>
          <w:szCs w:val="18"/>
        </w:rPr>
      </w:pPr>
      <w:r>
        <w:rPr>
          <w:rFonts w:ascii="Tahoma" w:hAnsi="Tahoma" w:cs="Tahoma"/>
          <w:i/>
          <w:sz w:val="18"/>
          <w:szCs w:val="18"/>
        </w:rPr>
        <w:t>se podle § 27 odst. 1 písm. b) a § 33 odst. 2 písm. f) zákona č. 111/1998 Sb., o vysokých</w:t>
      </w:r>
      <w:r>
        <w:rPr>
          <w:rFonts w:ascii="Tahoma" w:hAnsi="Tahoma" w:cs="Tahoma"/>
          <w:sz w:val="18"/>
          <w:szCs w:val="18"/>
        </w:rPr>
        <w:t xml:space="preserve"> </w:t>
      </w:r>
    </w:p>
    <w:p w:rsidR="005D09CC" w:rsidRDefault="005D09CC">
      <w:pPr>
        <w:pStyle w:val="normal0"/>
        <w:spacing w:after="75" w:line="240" w:lineRule="auto"/>
        <w:jc w:val="center"/>
        <w:rPr>
          <w:rFonts w:ascii="Tahoma" w:hAnsi="Tahoma" w:cs="Tahoma"/>
          <w:sz w:val="18"/>
          <w:szCs w:val="18"/>
        </w:rPr>
      </w:pPr>
      <w:r>
        <w:rPr>
          <w:rFonts w:ascii="Tahoma" w:hAnsi="Tahoma" w:cs="Tahoma"/>
          <w:i/>
          <w:sz w:val="18"/>
          <w:szCs w:val="18"/>
        </w:rPr>
        <w:t>školách a o změně a doplnění dalších zákonů, v platném znění (dále jen „zákon o vysokých školách“),</w:t>
      </w:r>
    </w:p>
    <w:p w:rsidR="005D09CC" w:rsidRDefault="005D09CC">
      <w:pPr>
        <w:pStyle w:val="normal0"/>
        <w:spacing w:after="75" w:line="240" w:lineRule="auto"/>
        <w:jc w:val="center"/>
        <w:rPr>
          <w:rFonts w:ascii="Tahoma" w:hAnsi="Tahoma" w:cs="Tahoma"/>
          <w:sz w:val="18"/>
          <w:szCs w:val="18"/>
        </w:rPr>
      </w:pPr>
      <w:r>
        <w:rPr>
          <w:rFonts w:ascii="Tahoma" w:hAnsi="Tahoma" w:cs="Tahoma"/>
          <w:i/>
          <w:sz w:val="18"/>
          <w:szCs w:val="18"/>
        </w:rPr>
        <w:t>a podle čl. 15 a 19 Statutu Fakulty sociálních věd</w:t>
      </w:r>
      <w:r>
        <w:rPr>
          <w:rFonts w:ascii="Tahoma" w:hAnsi="Tahoma" w:cs="Tahoma"/>
          <w:sz w:val="18"/>
          <w:szCs w:val="18"/>
        </w:rPr>
        <w:t xml:space="preserve">  (dále jen „Statut“)</w:t>
      </w:r>
    </w:p>
    <w:p w:rsidR="005D09CC" w:rsidRDefault="005D09CC">
      <w:pPr>
        <w:pStyle w:val="normal0"/>
        <w:spacing w:after="75" w:line="240" w:lineRule="auto"/>
        <w:jc w:val="center"/>
        <w:rPr>
          <w:rFonts w:ascii="Tahoma" w:hAnsi="Tahoma" w:cs="Tahoma"/>
          <w:sz w:val="18"/>
          <w:szCs w:val="18"/>
        </w:rPr>
      </w:pPr>
      <w:r>
        <w:rPr>
          <w:rFonts w:ascii="Tahoma" w:hAnsi="Tahoma" w:cs="Tahoma"/>
          <w:i/>
          <w:sz w:val="18"/>
          <w:szCs w:val="18"/>
        </w:rPr>
        <w:t>usnesl na těchto Pravidlech pro organizaci studia na Fakultě sociálních věd</w:t>
      </w:r>
      <w:r>
        <w:rPr>
          <w:rFonts w:ascii="Tahoma" w:hAnsi="Tahoma" w:cs="Tahoma"/>
          <w:sz w:val="18"/>
          <w:szCs w:val="18"/>
        </w:rPr>
        <w:t xml:space="preserve"> </w:t>
      </w:r>
    </w:p>
    <w:p w:rsidR="005D09CC" w:rsidRDefault="005D09CC">
      <w:pPr>
        <w:pStyle w:val="normal0"/>
        <w:spacing w:after="75" w:line="240" w:lineRule="auto"/>
        <w:jc w:val="center"/>
        <w:rPr>
          <w:rFonts w:ascii="Tahoma" w:hAnsi="Tahoma" w:cs="Tahoma"/>
          <w:sz w:val="18"/>
          <w:szCs w:val="18"/>
        </w:rPr>
      </w:pPr>
      <w:r>
        <w:rPr>
          <w:rFonts w:ascii="Tahoma" w:hAnsi="Tahoma" w:cs="Tahoma"/>
          <w:i/>
          <w:sz w:val="18"/>
          <w:szCs w:val="18"/>
        </w:rPr>
        <w:t>jako jejím vnitřním předpisu:</w:t>
      </w:r>
      <w:r>
        <w:rPr>
          <w:rFonts w:ascii="Tahoma" w:hAnsi="Tahoma" w:cs="Tahoma"/>
          <w:sz w:val="18"/>
          <w:szCs w:val="18"/>
        </w:rPr>
        <w:t xml:space="preserve">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Úvodní ustanovení </w:t>
      </w:r>
    </w:p>
    <w:p w:rsidR="005D09CC" w:rsidRDefault="005D09CC">
      <w:pPr>
        <w:pStyle w:val="normal0"/>
        <w:spacing w:line="240" w:lineRule="auto"/>
        <w:ind w:left="720"/>
        <w:rPr>
          <w:rFonts w:ascii="Tahoma" w:hAnsi="Tahoma" w:cs="Tahoma"/>
          <w:sz w:val="18"/>
          <w:szCs w:val="18"/>
        </w:rPr>
      </w:pPr>
      <w:r>
        <w:rPr>
          <w:rFonts w:ascii="Tahoma" w:hAnsi="Tahoma" w:cs="Tahoma"/>
          <w:sz w:val="18"/>
          <w:szCs w:val="18"/>
        </w:rPr>
        <w:t xml:space="preserve">Tato Pravidla pro organizaci studia na Fakultě sociálních věd Univerzity Karlovy (dále jen „Pravidla“) stanoví podle čl. 19 odst. 2 a 3 a souvisejících ustanovení Studijního a zkušebního řádu Univerzity Karlovy (dále jen „univerzita“) požadavky studijních programů uskutečňovaných na Fakultě sociálních věd (dále jen „fakulta“) a upravují podrobnosti o organizaci studia na fakultě.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Část I.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Požadavky bakalářských a magisterských studijních programů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podle Studijního a zkušebního řádu univerzity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2</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Úseky studijních programů</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4 odst. 6 Studijního a zkušebního řádu univerzity)</w:t>
      </w:r>
    </w:p>
    <w:p w:rsidR="005D09CC" w:rsidRDefault="005D09CC">
      <w:pPr>
        <w:pStyle w:val="normal0"/>
        <w:spacing w:after="75" w:line="240" w:lineRule="auto"/>
        <w:jc w:val="center"/>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 xml:space="preserve">Úseky studia všech studijních programů realizovaných na fakultě v rámci studijních programů jsou ročníky. </w:t>
      </w:r>
    </w:p>
    <w:p w:rsidR="005D09CC" w:rsidRDefault="005D09CC">
      <w:pPr>
        <w:pStyle w:val="normal0"/>
        <w:spacing w:line="240" w:lineRule="auto"/>
        <w:ind w:left="284"/>
        <w:jc w:val="center"/>
        <w:rPr>
          <w:rFonts w:ascii="Tahoma" w:hAnsi="Tahoma" w:cs="Tahoma"/>
          <w:sz w:val="18"/>
          <w:szCs w:val="18"/>
        </w:rPr>
      </w:pPr>
      <w:r>
        <w:rPr>
          <w:rFonts w:ascii="Tahoma" w:hAnsi="Tahoma" w:cs="Tahoma"/>
          <w:sz w:val="18"/>
          <w:szCs w:val="18"/>
        </w:rPr>
        <w:br/>
      </w:r>
      <w:r>
        <w:rPr>
          <w:rFonts w:ascii="Tahoma" w:hAnsi="Tahoma" w:cs="Tahoma"/>
          <w:b/>
          <w:sz w:val="18"/>
          <w:szCs w:val="18"/>
        </w:rPr>
        <w:t>Čl. 3</w:t>
      </w:r>
    </w:p>
    <w:p w:rsidR="005D09CC" w:rsidRDefault="005D09CC">
      <w:pPr>
        <w:pStyle w:val="normal0"/>
        <w:spacing w:line="240" w:lineRule="auto"/>
        <w:ind w:left="284"/>
        <w:jc w:val="center"/>
        <w:rPr>
          <w:rFonts w:ascii="Tahoma" w:hAnsi="Tahoma" w:cs="Tahoma"/>
          <w:sz w:val="18"/>
          <w:szCs w:val="18"/>
        </w:rPr>
      </w:pPr>
      <w:r>
        <w:rPr>
          <w:rFonts w:ascii="Tahoma" w:hAnsi="Tahoma" w:cs="Tahoma"/>
          <w:b/>
          <w:sz w:val="18"/>
          <w:szCs w:val="18"/>
        </w:rPr>
        <w:t xml:space="preserve">Specializace v rámci studijních programů </w:t>
      </w:r>
    </w:p>
    <w:p w:rsidR="005D09CC" w:rsidRDefault="005D09CC">
      <w:pPr>
        <w:pStyle w:val="normal0"/>
        <w:spacing w:line="240" w:lineRule="auto"/>
        <w:ind w:left="284"/>
        <w:jc w:val="center"/>
        <w:rPr>
          <w:rFonts w:ascii="Tahoma" w:hAnsi="Tahoma" w:cs="Tahoma"/>
          <w:sz w:val="18"/>
          <w:szCs w:val="18"/>
        </w:rPr>
      </w:pPr>
      <w:r>
        <w:rPr>
          <w:rFonts w:ascii="Tahoma" w:hAnsi="Tahoma" w:cs="Tahoma"/>
          <w:sz w:val="18"/>
          <w:szCs w:val="18"/>
        </w:rPr>
        <w:t xml:space="preserve">(k čl. 5 odst. 4 Studijního a zkušebního řádu univerzity) </w:t>
      </w:r>
    </w:p>
    <w:p w:rsidR="005D09CC" w:rsidRDefault="005D09CC">
      <w:pPr>
        <w:pStyle w:val="normal0"/>
        <w:spacing w:line="240" w:lineRule="auto"/>
        <w:ind w:left="284"/>
        <w:rPr>
          <w:rFonts w:ascii="Tahoma" w:hAnsi="Tahoma" w:cs="Tahoma"/>
          <w:sz w:val="18"/>
          <w:szCs w:val="18"/>
        </w:rPr>
      </w:pPr>
    </w:p>
    <w:p w:rsidR="005D09CC" w:rsidRDefault="005D09CC">
      <w:pPr>
        <w:pStyle w:val="normal0"/>
        <w:spacing w:line="240" w:lineRule="auto"/>
        <w:ind w:left="284"/>
        <w:rPr>
          <w:rFonts w:ascii="Tahoma" w:hAnsi="Tahoma" w:cs="Tahoma"/>
          <w:sz w:val="18"/>
          <w:szCs w:val="18"/>
        </w:rPr>
      </w:pPr>
      <w:r>
        <w:rPr>
          <w:rFonts w:ascii="Tahoma" w:hAnsi="Tahoma" w:cs="Tahoma"/>
          <w:sz w:val="18"/>
          <w:szCs w:val="18"/>
        </w:rPr>
        <w:t>Specializace uskutečňované v rámci některých studijních programů jsou uvedeny v Příloze č. 1 tohoto předpisu.</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pPr>
      <w:r>
        <w:br w:type="page"/>
      </w:r>
    </w:p>
    <w:p w:rsidR="005D09CC" w:rsidRDefault="005D09CC">
      <w:pPr>
        <w:pStyle w:val="normal0"/>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4</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Minimální počty kreditů</w:t>
      </w:r>
    </w:p>
    <w:p w:rsidR="005D09CC" w:rsidRDefault="005D09CC">
      <w:pPr>
        <w:pStyle w:val="normal0"/>
        <w:spacing w:before="205" w:after="280" w:line="240" w:lineRule="auto"/>
        <w:jc w:val="both"/>
        <w:rPr>
          <w:rFonts w:ascii="Tahoma" w:hAnsi="Tahoma" w:cs="Tahoma"/>
          <w:sz w:val="18"/>
          <w:szCs w:val="18"/>
        </w:rPr>
      </w:pPr>
      <w:r>
        <w:rPr>
          <w:rFonts w:ascii="Tahoma" w:hAnsi="Tahoma" w:cs="Tahoma"/>
          <w:sz w:val="18"/>
          <w:szCs w:val="18"/>
        </w:rPr>
        <w:t>(K čl. 5 odst. 6  Studijního a zkušebního řádu univerzity)</w:t>
      </w:r>
    </w:p>
    <w:p w:rsidR="005D09CC" w:rsidRDefault="005D09CC">
      <w:pPr>
        <w:pStyle w:val="normal0"/>
        <w:spacing w:after="280" w:line="240" w:lineRule="auto"/>
        <w:ind w:left="1440"/>
        <w:jc w:val="both"/>
        <w:rPr>
          <w:rFonts w:ascii="Tahoma" w:hAnsi="Tahoma" w:cs="Tahoma"/>
          <w:sz w:val="18"/>
          <w:szCs w:val="18"/>
        </w:rPr>
      </w:pPr>
      <w:r>
        <w:rPr>
          <w:rFonts w:ascii="Tahoma" w:hAnsi="Tahoma" w:cs="Tahoma"/>
          <w:sz w:val="18"/>
          <w:szCs w:val="18"/>
        </w:rPr>
        <w:t>1.</w:t>
      </w:r>
      <w:r>
        <w:rPr>
          <w:rFonts w:ascii="Tahoma" w:hAnsi="Tahoma" w:cs="Tahoma"/>
          <w:sz w:val="18"/>
          <w:szCs w:val="18"/>
        </w:rPr>
        <w:tab/>
        <w:t>Minimální počty kreditů nutné pro zápis do dalšího úseku prezenční formy studia studijních programů jsou:</w:t>
      </w:r>
    </w:p>
    <w:p w:rsidR="005D09CC" w:rsidRDefault="005D09CC">
      <w:pPr>
        <w:pStyle w:val="normal0"/>
        <w:spacing w:after="280" w:line="240" w:lineRule="auto"/>
        <w:ind w:left="1440"/>
        <w:jc w:val="both"/>
        <w:rPr>
          <w:rFonts w:ascii="Tahoma" w:hAnsi="Tahoma" w:cs="Tahoma"/>
          <w:sz w:val="18"/>
          <w:szCs w:val="18"/>
        </w:rPr>
      </w:pPr>
      <w:r>
        <w:rPr>
          <w:rFonts w:ascii="Tahoma" w:hAnsi="Tahoma" w:cs="Tahoma"/>
          <w:sz w:val="18"/>
          <w:szCs w:val="18"/>
        </w:rPr>
        <w:t>a.</w:t>
      </w:r>
      <w:r>
        <w:rPr>
          <w:rFonts w:ascii="Tahoma" w:hAnsi="Tahoma" w:cs="Tahoma"/>
          <w:sz w:val="18"/>
          <w:szCs w:val="18"/>
        </w:rPr>
        <w:tab/>
        <w:t xml:space="preserve">v bakalářských studijních programech </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w:t>
      </w:r>
      <w:r>
        <w:rPr>
          <w:rFonts w:ascii="Tahoma" w:hAnsi="Tahoma" w:cs="Tahoma"/>
          <w:sz w:val="18"/>
          <w:szCs w:val="18"/>
        </w:rPr>
        <w:tab/>
        <w:t>45 kreditů pro zápis do druhého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ii.</w:t>
      </w:r>
      <w:r>
        <w:rPr>
          <w:rFonts w:ascii="Tahoma" w:hAnsi="Tahoma" w:cs="Tahoma"/>
          <w:sz w:val="18"/>
          <w:szCs w:val="18"/>
        </w:rPr>
        <w:tab/>
        <w:t>90 kreditů pro zápis do třetího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iii.</w:t>
      </w:r>
      <w:r>
        <w:rPr>
          <w:rFonts w:ascii="Tahoma" w:hAnsi="Tahoma" w:cs="Tahoma"/>
          <w:sz w:val="18"/>
          <w:szCs w:val="18"/>
        </w:rPr>
        <w:tab/>
        <w:t>135 kreditů pro zápis do čtvrtého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iv.</w:t>
      </w:r>
      <w:r>
        <w:rPr>
          <w:rFonts w:ascii="Tahoma" w:hAnsi="Tahoma" w:cs="Tahoma"/>
          <w:sz w:val="18"/>
          <w:szCs w:val="18"/>
        </w:rPr>
        <w:tab/>
        <w:t>180 kreditů pro zápis do pátého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v.</w:t>
      </w:r>
      <w:r>
        <w:rPr>
          <w:rFonts w:ascii="Tahoma" w:hAnsi="Tahoma" w:cs="Tahoma"/>
          <w:sz w:val="18"/>
          <w:szCs w:val="18"/>
        </w:rPr>
        <w:tab/>
        <w:t xml:space="preserve">180 kreditů pro zápis do šestého úseku studia </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b.</w:t>
      </w:r>
      <w:r>
        <w:rPr>
          <w:rFonts w:ascii="Tahoma" w:hAnsi="Tahoma" w:cs="Tahoma"/>
          <w:sz w:val="18"/>
          <w:szCs w:val="18"/>
        </w:rPr>
        <w:tab/>
        <w:t xml:space="preserve">v magisterských studijních programech </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 xml:space="preserve">i. </w:t>
      </w:r>
      <w:r>
        <w:rPr>
          <w:rFonts w:ascii="Tahoma" w:hAnsi="Tahoma" w:cs="Tahoma"/>
          <w:sz w:val="18"/>
          <w:szCs w:val="18"/>
        </w:rPr>
        <w:tab/>
        <w:t>45 kreditů pro zápis do druhého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ii.</w:t>
      </w:r>
      <w:r>
        <w:rPr>
          <w:rFonts w:ascii="Tahoma" w:hAnsi="Tahoma" w:cs="Tahoma"/>
          <w:sz w:val="18"/>
          <w:szCs w:val="18"/>
        </w:rPr>
        <w:tab/>
        <w:t>90 kreditů pro zápis do třetího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iii.</w:t>
      </w:r>
      <w:r>
        <w:rPr>
          <w:rFonts w:ascii="Tahoma" w:hAnsi="Tahoma" w:cs="Tahoma"/>
          <w:sz w:val="18"/>
          <w:szCs w:val="18"/>
        </w:rPr>
        <w:tab/>
        <w:t>120 kreditů pro zápis do čtvrtého úseku studia</w:t>
      </w:r>
    </w:p>
    <w:p w:rsidR="005D09CC" w:rsidRDefault="005D09CC">
      <w:pPr>
        <w:pStyle w:val="normal0"/>
        <w:spacing w:line="240" w:lineRule="auto"/>
        <w:ind w:left="1440"/>
        <w:jc w:val="both"/>
        <w:rPr>
          <w:rFonts w:ascii="Tahoma" w:hAnsi="Tahoma" w:cs="Tahoma"/>
          <w:sz w:val="18"/>
          <w:szCs w:val="18"/>
        </w:rPr>
      </w:pPr>
      <w:r>
        <w:rPr>
          <w:rFonts w:ascii="Tahoma" w:hAnsi="Tahoma" w:cs="Tahoma"/>
          <w:sz w:val="18"/>
          <w:szCs w:val="18"/>
        </w:rPr>
        <w:t>iv.</w:t>
      </w:r>
      <w:r>
        <w:rPr>
          <w:rFonts w:ascii="Tahoma" w:hAnsi="Tahoma" w:cs="Tahoma"/>
          <w:sz w:val="18"/>
          <w:szCs w:val="18"/>
        </w:rPr>
        <w:tab/>
        <w:t>120 kreditů pro zápis do pátého úseku studia.</w:t>
      </w:r>
    </w:p>
    <w:p w:rsidR="005D09CC" w:rsidRDefault="005D09CC">
      <w:pPr>
        <w:pStyle w:val="normal0"/>
        <w:spacing w:after="75" w:line="240" w:lineRule="auto"/>
        <w:ind w:left="360"/>
        <w:rPr>
          <w:rFonts w:ascii="Tahoma" w:hAnsi="Tahoma" w:cs="Tahoma"/>
          <w:sz w:val="18"/>
          <w:szCs w:val="18"/>
        </w:rPr>
      </w:pPr>
      <w:r>
        <w:rPr>
          <w:rFonts w:ascii="Tahoma" w:hAnsi="Tahoma" w:cs="Tahoma"/>
          <w:sz w:val="18"/>
          <w:szCs w:val="18"/>
        </w:rPr>
        <w:t>2. V případě přerušení studia na semestr se snižuje povinnost minimálního počtu kreditů stanovená pro zápis do příslušného úseku studia o jednu polovinu rozdílu minimálního počtu kreditů nutných pro zápis do předchozího a příslušného úseku studia.</w:t>
      </w:r>
    </w:p>
    <w:p w:rsidR="005D09CC" w:rsidRDefault="005D09CC">
      <w:pPr>
        <w:pStyle w:val="normal0"/>
        <w:spacing w:after="75" w:line="240" w:lineRule="auto"/>
        <w:rPr>
          <w:rFonts w:ascii="Tahoma" w:hAnsi="Tahoma" w:cs="Tahoma"/>
          <w:sz w:val="18"/>
          <w:szCs w:val="18"/>
        </w:rPr>
      </w:pPr>
      <w:r>
        <w:rPr>
          <w:rFonts w:ascii="Verdana" w:hAnsi="Verdana" w:cs="Verdana"/>
          <w:sz w:val="18"/>
          <w:szCs w:val="18"/>
        </w:rPr>
        <w:t>3. Ve zcela výjimečných případech (zejména ze zdravotních důvodů, např. vážné nemoci či úrazu) může děkan studentovi na základě řádně doložené písemné žádosti o individuální studijní plán snížit minimální počty kreditů dle předchozích odstavců tohoto článku.</w:t>
      </w: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r>
        <w:rPr>
          <w:rFonts w:ascii="Tahoma" w:hAnsi="Tahoma" w:cs="Tahoma"/>
          <w:sz w:val="18"/>
          <w:szCs w:val="18"/>
        </w:rPr>
        <w:t>4. V kombinované formě studia se minimální počet kreditů nestanoví s tím, že student kombinované formy studia se může do dalšího úseku studia (ročníku) podle čl. 5 odst. 6 Studijního a zkušebního řádu univerzity zapsat:</w:t>
      </w:r>
    </w:p>
    <w:p w:rsidR="005D09CC" w:rsidRDefault="005D09CC">
      <w:pPr>
        <w:pStyle w:val="normal0"/>
        <w:numPr>
          <w:ilvl w:val="1"/>
          <w:numId w:val="9"/>
        </w:numPr>
        <w:spacing w:line="240" w:lineRule="auto"/>
        <w:ind w:hanging="360"/>
        <w:contextualSpacing/>
        <w:rPr>
          <w:rFonts w:ascii="Tahoma" w:hAnsi="Tahoma" w:cs="Tahoma"/>
          <w:sz w:val="18"/>
          <w:szCs w:val="18"/>
        </w:rPr>
      </w:pPr>
      <w:r>
        <w:rPr>
          <w:rFonts w:ascii="Tahoma" w:hAnsi="Tahoma" w:cs="Tahoma"/>
          <w:sz w:val="18"/>
          <w:szCs w:val="18"/>
        </w:rPr>
        <w:t>pokud získá normální počet kreditů (čl. 5 odst. 6 Studijního a zkušebního řádu univerzity), nebo</w:t>
      </w:r>
    </w:p>
    <w:p w:rsidR="005D09CC" w:rsidRDefault="005D09CC">
      <w:pPr>
        <w:pStyle w:val="normal0"/>
        <w:numPr>
          <w:ilvl w:val="1"/>
          <w:numId w:val="9"/>
        </w:numPr>
        <w:spacing w:line="240" w:lineRule="auto"/>
        <w:ind w:hanging="360"/>
        <w:contextualSpacing/>
        <w:rPr>
          <w:rFonts w:ascii="Tahoma" w:hAnsi="Tahoma" w:cs="Tahoma"/>
          <w:sz w:val="18"/>
          <w:szCs w:val="18"/>
        </w:rPr>
      </w:pPr>
      <w:r>
        <w:rPr>
          <w:rFonts w:ascii="Tahoma" w:hAnsi="Tahoma" w:cs="Tahoma"/>
          <w:sz w:val="18"/>
          <w:szCs w:val="18"/>
        </w:rPr>
        <w:t>pokud neabsolvuje zapsaný povinný nebo povinně volitelný předmět a získá normální počet kreditů snížený o počet kreditů z předmětů, v nichž za výše uvedených podmínek neuspěl.</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5</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Individuální studijní plán</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5 odst. 9, 10 a 11 Studijního a zkušebního řádu univerzity)</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rPr>
          <w:rFonts w:ascii="Tahoma" w:hAnsi="Tahoma" w:cs="Tahoma"/>
          <w:sz w:val="18"/>
          <w:szCs w:val="18"/>
        </w:rPr>
      </w:pPr>
      <w:r>
        <w:rPr>
          <w:rFonts w:ascii="Tahoma" w:hAnsi="Tahoma" w:cs="Tahoma"/>
          <w:sz w:val="18"/>
          <w:szCs w:val="18"/>
        </w:rPr>
        <w:t xml:space="preserve">Podrobnosti o individuálním studijním plánu se nestanoví. Individuální studijní plán dle čl. 5 odst. 9 Studijního a zkušebního řádu univerzity může děkan povolit jen ve zdůvodněných případech. Individuální studijní plán může děkan studentovi v kombinované formě studia povolit též v situaci, kdy student nezíská při nadcházející průběžné kontrole studia počet kreditů předepsaných studijním plánem, jde-li o důvodný případ; tento postup lze během studia uplatnit nejvýše dvakrát.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6</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Právo na zápis předmětu</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7 odst. 2 Studijního a zkušebního řádu univerzity)</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spacing w:after="75" w:line="240" w:lineRule="auto"/>
        <w:rPr>
          <w:rFonts w:ascii="Tahoma" w:hAnsi="Tahoma" w:cs="Tahoma"/>
          <w:sz w:val="18"/>
          <w:szCs w:val="18"/>
        </w:rPr>
      </w:pPr>
      <w:r>
        <w:rPr>
          <w:rFonts w:ascii="Tahoma" w:hAnsi="Tahoma" w:cs="Tahoma"/>
          <w:sz w:val="18"/>
          <w:szCs w:val="18"/>
        </w:rPr>
        <w:t>Právo zapsat si předmět vyučovaný na fakultě je dotčeno kapacitními důvody podle čl. 7 odst. 8 Studijního a zkušebního řádu univerzity; v takovém případě vždy mají přednost při zápisu daného předmětu studenti, kteří si ho zapisují v souladu s doporučeným studijním plánem.</w:t>
      </w:r>
    </w:p>
    <w:p w:rsidR="005D09CC" w:rsidRDefault="005D09CC">
      <w:pPr>
        <w:pStyle w:val="normal0"/>
        <w:tabs>
          <w:tab w:val="left" w:pos="4320"/>
        </w:tabs>
        <w:spacing w:before="205" w:after="280" w:line="240" w:lineRule="auto"/>
        <w:ind w:left="720"/>
        <w:jc w:val="both"/>
        <w:rPr>
          <w:rFonts w:ascii="Tahoma" w:hAnsi="Tahoma" w:cs="Tahoma"/>
          <w:sz w:val="18"/>
          <w:szCs w:val="18"/>
        </w:rPr>
      </w:pPr>
      <w:r>
        <w:rPr>
          <w:rFonts w:ascii="Tahoma" w:hAnsi="Tahoma" w:cs="Tahoma"/>
          <w:sz w:val="18"/>
          <w:szCs w:val="18"/>
        </w:rPr>
        <w:tab/>
      </w:r>
    </w:p>
    <w:p w:rsidR="005D09CC" w:rsidRDefault="005D09CC">
      <w:pPr>
        <w:pStyle w:val="normal0"/>
        <w:tabs>
          <w:tab w:val="left" w:pos="4320"/>
        </w:tabs>
        <w:spacing w:before="205" w:after="280" w:line="240" w:lineRule="auto"/>
        <w:ind w:left="720"/>
        <w:jc w:val="both"/>
        <w:rPr>
          <w:rFonts w:ascii="Tahoma" w:hAnsi="Tahoma" w:cs="Tahoma"/>
          <w:sz w:val="18"/>
          <w:szCs w:val="18"/>
        </w:rPr>
      </w:pPr>
    </w:p>
    <w:p w:rsidR="005D09CC" w:rsidRDefault="005D09CC">
      <w:pPr>
        <w:pStyle w:val="normal0"/>
        <w:tabs>
          <w:tab w:val="left" w:pos="4320"/>
        </w:tabs>
        <w:spacing w:before="205" w:after="280" w:line="240" w:lineRule="auto"/>
        <w:ind w:left="720"/>
        <w:jc w:val="both"/>
        <w:rPr>
          <w:rFonts w:ascii="Tahoma" w:hAnsi="Tahoma" w:cs="Tahoma"/>
          <w:sz w:val="18"/>
          <w:szCs w:val="18"/>
        </w:rPr>
      </w:pP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7</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Opakovaný zápis předmětu</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7 odst. 9 Studijního a zkušebního řádu univerzity)</w:t>
      </w:r>
    </w:p>
    <w:p w:rsidR="005D09CC" w:rsidRDefault="005D09CC">
      <w:pPr>
        <w:pStyle w:val="normal0"/>
        <w:spacing w:line="240" w:lineRule="auto"/>
        <w:jc w:val="both"/>
        <w:rPr>
          <w:rFonts w:ascii="Tahoma" w:hAnsi="Tahoma" w:cs="Tahoma"/>
          <w:sz w:val="18"/>
          <w:szCs w:val="18"/>
        </w:rPr>
      </w:pPr>
    </w:p>
    <w:p w:rsidR="005D09CC" w:rsidRDefault="005D09CC">
      <w:pPr>
        <w:pStyle w:val="normal0"/>
        <w:numPr>
          <w:ilvl w:val="3"/>
          <w:numId w:val="9"/>
        </w:numPr>
        <w:spacing w:line="240" w:lineRule="auto"/>
        <w:ind w:left="709" w:hanging="283"/>
        <w:contextualSpacing/>
        <w:rPr>
          <w:rFonts w:ascii="Tahoma" w:hAnsi="Tahoma" w:cs="Tahoma"/>
          <w:sz w:val="18"/>
          <w:szCs w:val="18"/>
        </w:rPr>
      </w:pPr>
      <w:r>
        <w:rPr>
          <w:rFonts w:ascii="Tahoma" w:hAnsi="Tahoma" w:cs="Tahoma"/>
          <w:sz w:val="18"/>
          <w:szCs w:val="18"/>
        </w:rPr>
        <w:t>Opakování zápisu předmětu, který je studijním plánem daného studijního programu stanoven jako povinný nebo povinně volitelný, je možné pouze jedenkrát. Rozdělení předmětů na povinné, povinně volitelné a volitelné stanoví příslušný studijní plán studijního programu. Studijní  plán se zveřejňuje každý rok ve veřejné části internetových stránek fakulty (Karolinka FSV UK).</w:t>
      </w:r>
    </w:p>
    <w:p w:rsidR="005D09CC" w:rsidRDefault="005D09CC">
      <w:pPr>
        <w:pStyle w:val="normal0"/>
        <w:numPr>
          <w:ilvl w:val="3"/>
          <w:numId w:val="9"/>
        </w:numPr>
        <w:spacing w:after="75" w:line="240" w:lineRule="auto"/>
        <w:ind w:left="709" w:hanging="283"/>
        <w:contextualSpacing/>
        <w:rPr>
          <w:rFonts w:ascii="Tahoma" w:hAnsi="Tahoma" w:cs="Tahoma"/>
          <w:sz w:val="18"/>
          <w:szCs w:val="18"/>
        </w:rPr>
      </w:pPr>
      <w:r>
        <w:rPr>
          <w:rFonts w:ascii="Tahoma" w:hAnsi="Tahoma" w:cs="Tahoma"/>
          <w:sz w:val="18"/>
          <w:szCs w:val="18"/>
        </w:rPr>
        <w:t xml:space="preserve">Opakování zápisu předmětu vyučovaného na fakultě, který je pro daný studijní program předmětem volitelným, je vyloučeno.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8</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Kontroly studia</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8 Studijního a zkušebního řádu univerzity)</w:t>
      </w:r>
    </w:p>
    <w:p w:rsidR="005D09CC" w:rsidRDefault="005D09CC">
      <w:pPr>
        <w:pStyle w:val="normal0"/>
        <w:spacing w:line="240" w:lineRule="auto"/>
        <w:jc w:val="both"/>
        <w:rPr>
          <w:rFonts w:ascii="Tahoma" w:hAnsi="Tahoma" w:cs="Tahoma"/>
          <w:sz w:val="18"/>
          <w:szCs w:val="18"/>
        </w:rPr>
      </w:pP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U předmětů vyučovaných na fakultě je zápočet vždy samostatnou kontrolou studia předmětu.</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 xml:space="preserve">Je-li součástí zápočtu nebo klasifikovaného zápočtu test, má student právo na jednu opravnou možnost (termín). Zkouškové termíny jsou určeny pro nejvýše tři absolvování zkoušky daným studentem z daného zapsaného předmětu, nejde-li o postup po řádné omluvě podle čl. 8 odst. 14 Studijního a zkušebního řádu univerzity. V případě zápočtů a klasifikovaných zápočtů dle věty první tohoto odstavce jsou termíny pouze pro absolvování pouze dva. O řádnosti omluvy rozhoduje vyučující předmětu. </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Termíny (datum, čas a kapacitu) v minimálním počtu dle odst. 4 a kapacitě dle čl. 8 odst. 12 Studijního a zkušebního řádu univerzity pro absolvování předmětů v příslušném semestru zveřejní zkoušející ve Studijním informačním systému univerzity (dále jen „SIS UK“) nejméně jeden týden před ukončením výuky dle aktuálního harmonogramu akademického roku (dále jen „harmonogram“). Student má právo se zapsat na více termínů kontroly studia.</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Počet vypsaných termínů dle odstavce 3 nesmí být menší než tři (čl. 8 odst. 14 SI a zkušebního řádu univerzity), počet termínů pro ukončení předmětu musí odpovídat typu kontroly studia, formě prověřování znalostí a dovedností a počtu zapsaných studentů.</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 xml:space="preserve">Řádné termíny pro ukončení předmětů jsou zařazovány do zkouškového období, případně i do posledních dvou týdnů výuky. Student není povinen využít zkouškové termíny vypsané v posledních dvou týdnech výuky a musí mít umožněn ve zkouškovém období dostatečný počet termínů ve smyslu odst. 3. Opravné termíny jsou zařazovány do zkouškového období a prodlouženého zkouškového období. Podrobnosti upravuje harmonogram. </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 xml:space="preserve">Zkoušející zodpovídá za to, aby výsledek kontroly studia (zápočet, klasifikovaný zápočet či zkouška) byl zaznamenán do SIS UK nejpozději do sedmi pracovních dnů po termínu konání zápočtu, klasifikovaného zápočtu, nebo zkoušky. V případě, že není tato povinnost splněna, může se student obrátit na vedoucího příslušné katedry, který neprodleně zajistí nápravu. V případě prodlení má student možnost obrátit se na děkana,  který zajistí nápravu. </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Po uplynutí zkouškového období (včetně prodlouženého zkouškového období) bude studentovi předmět, u kterého neabsolvoval předepsanou kontrolu studia (zápočet, klasifikovaný zápočet, nebo zkoušku), označen administrativně jako nesplněný. Tuto skutečnost zaznamená automaticky SIS UK.</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 xml:space="preserve">Student, vyučující nebo garant příslušného studijního programu mají právo požádat děkana fakulty, aby se druhá opravná zkouška konala před komisí. Obdobně se postupuje u první opravy zápočtu či klasifikovaného zápočtu. Složení minimálně tříčlenné komise stanoví děkan po dohodě s příslušným garantem. </w:t>
      </w:r>
    </w:p>
    <w:p w:rsidR="005D09CC" w:rsidRDefault="005D09CC">
      <w:pPr>
        <w:pStyle w:val="normal0"/>
        <w:numPr>
          <w:ilvl w:val="0"/>
          <w:numId w:val="3"/>
        </w:numPr>
        <w:spacing w:line="240" w:lineRule="auto"/>
        <w:ind w:hanging="360"/>
        <w:contextualSpacing/>
        <w:rPr>
          <w:rFonts w:ascii="Tahoma" w:hAnsi="Tahoma" w:cs="Tahoma"/>
          <w:sz w:val="18"/>
          <w:szCs w:val="18"/>
        </w:rPr>
      </w:pPr>
      <w:r>
        <w:rPr>
          <w:rFonts w:ascii="Tahoma" w:hAnsi="Tahoma" w:cs="Tahoma"/>
          <w:sz w:val="18"/>
          <w:szCs w:val="18"/>
        </w:rPr>
        <w:t>Výsledky zkoušky a klasifikovaného zápočtu jsou klasifikovány známkami A-F, přičemž přepočet na známky 1-4 stanoví Studijní a zkušební řád univerzity.</w:t>
      </w:r>
    </w:p>
    <w:p w:rsidR="005D09CC" w:rsidRDefault="005D09CC">
      <w:pPr>
        <w:pStyle w:val="normal0"/>
        <w:numPr>
          <w:ilvl w:val="0"/>
          <w:numId w:val="14"/>
        </w:numPr>
        <w:spacing w:line="240" w:lineRule="auto"/>
        <w:ind w:hanging="360"/>
        <w:contextualSpacing/>
        <w:rPr>
          <w:rFonts w:ascii="Tahoma" w:hAnsi="Tahoma" w:cs="Tahoma"/>
          <w:sz w:val="18"/>
          <w:szCs w:val="18"/>
        </w:rPr>
      </w:pPr>
      <w:r>
        <w:rPr>
          <w:rFonts w:ascii="Tahoma" w:hAnsi="Tahoma" w:cs="Tahoma"/>
          <w:sz w:val="18"/>
          <w:szCs w:val="18"/>
        </w:rPr>
        <w:t>Lhůta pro možnost uznání kontroly studia předmětu podle čl. 8 odst. 16 Studijního a zkušebního řádu univerzity se stanoví na pět let v případě studia v bakalářském programu, čtyři roky v případě studia v navazujícím magisterském programu a šest let v případě studia v doktorském studijním programu. Takto uznaná splněná studijní povinnost se započítává do celkových studijních povinností i do povinností vymezených v čl. 4 pro zápis do dalšího úseku studia (tj. přidělují se kredity).</w:t>
      </w:r>
    </w:p>
    <w:p w:rsidR="005D09CC" w:rsidRDefault="005D09CC">
      <w:pPr>
        <w:pStyle w:val="normal0"/>
        <w:spacing w:line="240" w:lineRule="auto"/>
        <w:ind w:left="720"/>
        <w:rPr>
          <w:rFonts w:ascii="Tahoma" w:hAnsi="Tahoma" w:cs="Tahoma"/>
          <w:sz w:val="18"/>
          <w:szCs w:val="18"/>
        </w:rPr>
      </w:pPr>
    </w:p>
    <w:p w:rsidR="005D09CC" w:rsidRDefault="005D09CC">
      <w:pPr>
        <w:pStyle w:val="normal0"/>
        <w:spacing w:line="240" w:lineRule="auto"/>
        <w:ind w:left="720"/>
        <w:rPr>
          <w:rFonts w:ascii="Tahoma" w:hAnsi="Tahoma" w:cs="Tahoma"/>
          <w:sz w:val="18"/>
          <w:szCs w:val="18"/>
        </w:rPr>
      </w:pPr>
    </w:p>
    <w:p w:rsidR="005D09CC" w:rsidRDefault="005D09CC">
      <w:pPr>
        <w:pStyle w:val="normal0"/>
        <w:spacing w:line="240" w:lineRule="auto"/>
        <w:ind w:left="720"/>
        <w:rPr>
          <w:rFonts w:ascii="Tahoma" w:hAnsi="Tahoma" w:cs="Tahoma"/>
          <w:sz w:val="18"/>
          <w:szCs w:val="18"/>
        </w:rPr>
      </w:pPr>
    </w:p>
    <w:p w:rsidR="005D09CC" w:rsidRDefault="005D09CC">
      <w:pPr>
        <w:pStyle w:val="normal0"/>
        <w:spacing w:line="240" w:lineRule="auto"/>
        <w:ind w:left="720"/>
        <w:rPr>
          <w:rFonts w:ascii="Tahoma" w:hAnsi="Tahoma" w:cs="Tahoma"/>
          <w:sz w:val="18"/>
          <w:szCs w:val="18"/>
        </w:rPr>
      </w:pPr>
    </w:p>
    <w:p w:rsidR="005D09CC" w:rsidRDefault="005D09CC">
      <w:pPr>
        <w:pStyle w:val="normal0"/>
        <w:spacing w:after="240" w:line="240" w:lineRule="auto"/>
        <w:jc w:val="center"/>
        <w:rPr>
          <w:rFonts w:ascii="Tahoma" w:hAnsi="Tahoma" w:cs="Tahoma"/>
          <w:sz w:val="18"/>
          <w:szCs w:val="18"/>
        </w:rPr>
      </w:pPr>
      <w:r>
        <w:rPr>
          <w:rFonts w:ascii="Tahoma" w:hAnsi="Tahoma" w:cs="Tahoma"/>
          <w:sz w:val="18"/>
          <w:szCs w:val="18"/>
        </w:rPr>
        <w:br/>
      </w:r>
      <w:r>
        <w:rPr>
          <w:rFonts w:ascii="Tahoma" w:hAnsi="Tahoma" w:cs="Tahoma"/>
          <w:b/>
          <w:sz w:val="18"/>
          <w:szCs w:val="18"/>
        </w:rPr>
        <w:t>Čl. 9</w:t>
      </w:r>
    </w:p>
    <w:p w:rsidR="005D09CC" w:rsidRDefault="005D09CC">
      <w:pPr>
        <w:pStyle w:val="normal0"/>
        <w:spacing w:after="240" w:line="240" w:lineRule="auto"/>
        <w:jc w:val="center"/>
        <w:rPr>
          <w:rFonts w:ascii="Tahoma" w:hAnsi="Tahoma" w:cs="Tahoma"/>
          <w:sz w:val="18"/>
          <w:szCs w:val="18"/>
        </w:rPr>
      </w:pPr>
      <w:r>
        <w:rPr>
          <w:rFonts w:ascii="Tahoma" w:hAnsi="Tahoma" w:cs="Tahoma"/>
          <w:b/>
          <w:sz w:val="18"/>
          <w:szCs w:val="18"/>
        </w:rPr>
        <w:t>Státní zkouška</w:t>
      </w:r>
    </w:p>
    <w:p w:rsidR="005D09CC" w:rsidRDefault="005D09CC">
      <w:pPr>
        <w:pStyle w:val="normal0"/>
        <w:numPr>
          <w:ilvl w:val="0"/>
          <w:numId w:val="7"/>
        </w:numPr>
        <w:spacing w:line="240" w:lineRule="auto"/>
        <w:ind w:hanging="360"/>
        <w:contextualSpacing/>
        <w:rPr>
          <w:rFonts w:ascii="Tahoma" w:hAnsi="Tahoma" w:cs="Tahoma"/>
          <w:sz w:val="18"/>
          <w:szCs w:val="18"/>
        </w:rPr>
      </w:pPr>
      <w:r>
        <w:rPr>
          <w:rFonts w:ascii="Tahoma" w:hAnsi="Tahoma" w:cs="Tahoma"/>
          <w:sz w:val="18"/>
          <w:szCs w:val="18"/>
        </w:rPr>
        <w:t xml:space="preserve">Nedostaví-li se student k termínu státní zkoušky nebo její části, na který je přihlášen, bez řádné omluvy, není klasifikován; ustanovení této věty nezakládá nárok na vypsání zvláštního termínu (čl. 9 odst. 12 Studijního a zkušebního řádu univerzity). O řádnosti omluvy rozhoduje předseda komise pro státní zkoušku. </w:t>
      </w:r>
    </w:p>
    <w:p w:rsidR="005D09CC" w:rsidRDefault="005D09CC">
      <w:pPr>
        <w:pStyle w:val="normal0"/>
        <w:numPr>
          <w:ilvl w:val="0"/>
          <w:numId w:val="7"/>
        </w:numPr>
        <w:spacing w:line="240" w:lineRule="auto"/>
        <w:ind w:hanging="360"/>
        <w:contextualSpacing/>
        <w:rPr>
          <w:rFonts w:ascii="Tahoma" w:hAnsi="Tahoma" w:cs="Tahoma"/>
          <w:sz w:val="18"/>
          <w:szCs w:val="18"/>
        </w:rPr>
      </w:pPr>
      <w:r>
        <w:rPr>
          <w:rFonts w:ascii="Tahoma" w:hAnsi="Tahoma" w:cs="Tahoma"/>
          <w:sz w:val="18"/>
          <w:szCs w:val="18"/>
        </w:rPr>
        <w:t xml:space="preserve">Počet kreditů a absolvování vybraných předmětů pro konání jiné než poslední části státní zkoušky stanoví následující odstavce tohoto článku. Pokud není dále stanoveno jinak, je student bakalářského studijního programu povinen před konáním státní zkoušky získat 180 kreditů a student navazujícího magisterského programu získat 120 kreditů. </w:t>
      </w:r>
    </w:p>
    <w:p w:rsidR="005D09CC" w:rsidRDefault="005D09CC">
      <w:pPr>
        <w:pStyle w:val="normal0"/>
        <w:numPr>
          <w:ilvl w:val="0"/>
          <w:numId w:val="7"/>
        </w:numPr>
        <w:spacing w:line="240" w:lineRule="auto"/>
        <w:ind w:hanging="360"/>
        <w:contextualSpacing/>
        <w:rPr>
          <w:rFonts w:ascii="Tahoma" w:hAnsi="Tahoma" w:cs="Tahoma"/>
          <w:sz w:val="18"/>
          <w:szCs w:val="18"/>
        </w:rPr>
      </w:pPr>
      <w:r>
        <w:rPr>
          <w:rFonts w:ascii="Tahoma" w:hAnsi="Tahoma" w:cs="Tahoma"/>
          <w:sz w:val="18"/>
          <w:szCs w:val="18"/>
        </w:rPr>
        <w:t xml:space="preserve">Státní zkouška je složena z jedné nebo více částí; jednou částí je obhajoba bakalářské nebo diplomové práce, další částí (dalšími částmi) zkouška zaměřená na profilaci studijního programu. </w:t>
      </w:r>
    </w:p>
    <w:p w:rsidR="005D09CC" w:rsidRDefault="005D09CC">
      <w:pPr>
        <w:pStyle w:val="normal0"/>
        <w:numPr>
          <w:ilvl w:val="0"/>
          <w:numId w:val="7"/>
        </w:numPr>
        <w:spacing w:line="240" w:lineRule="auto"/>
        <w:ind w:hanging="360"/>
        <w:contextualSpacing/>
        <w:rPr>
          <w:rFonts w:ascii="Tahoma" w:hAnsi="Tahoma" w:cs="Tahoma"/>
          <w:sz w:val="18"/>
          <w:szCs w:val="18"/>
        </w:rPr>
      </w:pPr>
      <w:r>
        <w:rPr>
          <w:rFonts w:ascii="Tahoma" w:hAnsi="Tahoma" w:cs="Tahoma"/>
          <w:sz w:val="18"/>
          <w:szCs w:val="18"/>
        </w:rPr>
        <w:t>Počet kreditů z povinných a povinně volitelných předmětů pro konání první části Státní zkoušky z analýzy dat v bakalářském studijním programu Sociologie je 60.</w:t>
      </w: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Čl. 10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Další podmínky pro absolvování s vyznamenáním</w:t>
      </w:r>
    </w:p>
    <w:p w:rsidR="005D09CC" w:rsidRDefault="005D09CC">
      <w:pPr>
        <w:pStyle w:val="normal0"/>
        <w:spacing w:after="75" w:line="240" w:lineRule="auto"/>
        <w:jc w:val="center"/>
        <w:rPr>
          <w:rFonts w:ascii="Tahoma" w:hAnsi="Tahoma" w:cs="Tahoma"/>
          <w:sz w:val="18"/>
          <w:szCs w:val="18"/>
        </w:rPr>
      </w:pPr>
      <w:r>
        <w:rPr>
          <w:rFonts w:ascii="Tahoma" w:hAnsi="Tahoma" w:cs="Tahoma"/>
          <w:sz w:val="18"/>
          <w:szCs w:val="18"/>
        </w:rPr>
        <w:t>(K čl. 8 odst. 13 Studijního a zkušebního řádu univerzity)</w:t>
      </w:r>
    </w:p>
    <w:p w:rsidR="005D09CC" w:rsidRDefault="005D09CC">
      <w:pPr>
        <w:pStyle w:val="normal0"/>
        <w:spacing w:after="75" w:line="240" w:lineRule="auto"/>
        <w:jc w:val="center"/>
        <w:rPr>
          <w:rFonts w:ascii="Tahoma" w:hAnsi="Tahoma" w:cs="Tahoma"/>
          <w:sz w:val="18"/>
          <w:szCs w:val="18"/>
        </w:rPr>
      </w:pPr>
    </w:p>
    <w:p w:rsidR="005D09CC" w:rsidRDefault="005D09CC">
      <w:pPr>
        <w:pStyle w:val="normal0"/>
        <w:numPr>
          <w:ilvl w:val="0"/>
          <w:numId w:val="10"/>
        </w:numPr>
        <w:spacing w:line="240" w:lineRule="auto"/>
        <w:ind w:hanging="360"/>
        <w:contextualSpacing/>
        <w:rPr>
          <w:rFonts w:ascii="Tahoma" w:hAnsi="Tahoma" w:cs="Tahoma"/>
          <w:sz w:val="18"/>
          <w:szCs w:val="18"/>
        </w:rPr>
      </w:pPr>
      <w:r>
        <w:rPr>
          <w:rFonts w:ascii="Tahoma" w:hAnsi="Tahoma" w:cs="Tahoma"/>
          <w:sz w:val="18"/>
          <w:szCs w:val="18"/>
        </w:rPr>
        <w:t xml:space="preserve">Další podmínkou pro absolvování s vyznamenáním v bakalářském studijním programu je řádné ukončení studia v době nepřesahující standardní dobu studia o více než jeden rok. </w:t>
      </w:r>
    </w:p>
    <w:p w:rsidR="005D09CC" w:rsidRDefault="005D09CC">
      <w:pPr>
        <w:pStyle w:val="normal0"/>
        <w:numPr>
          <w:ilvl w:val="0"/>
          <w:numId w:val="10"/>
        </w:numPr>
        <w:spacing w:line="240" w:lineRule="auto"/>
        <w:ind w:hanging="360"/>
        <w:contextualSpacing/>
        <w:rPr>
          <w:rFonts w:ascii="Tahoma" w:hAnsi="Tahoma" w:cs="Tahoma"/>
          <w:sz w:val="18"/>
          <w:szCs w:val="18"/>
        </w:rPr>
      </w:pPr>
      <w:r>
        <w:rPr>
          <w:rFonts w:ascii="Tahoma" w:hAnsi="Tahoma" w:cs="Tahoma"/>
          <w:sz w:val="18"/>
          <w:szCs w:val="18"/>
        </w:rPr>
        <w:t xml:space="preserve">Další podmínky pro absolvování s vyznamenáním v magisterském studijním programu se nestanoví.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Část II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Podrobnosti k organizaci studia v bakalářských a magisterských studijních programech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11</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Zápis ke studiu, zápis do dalšího úseku studia, odevzdávání přehledu splněných povinností a registrace předmětů</w:t>
      </w:r>
    </w:p>
    <w:p w:rsidR="005D09CC" w:rsidRDefault="005D09CC">
      <w:pPr>
        <w:pStyle w:val="normal0"/>
        <w:spacing w:line="240" w:lineRule="auto"/>
        <w:jc w:val="both"/>
        <w:rPr>
          <w:rFonts w:ascii="Tahoma" w:hAnsi="Tahoma" w:cs="Tahoma"/>
          <w:sz w:val="18"/>
          <w:szCs w:val="18"/>
        </w:rPr>
      </w:pP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 xml:space="preserve">Termín zápisu uchazečů o studium přijatých ke studiu je dán harmonogramem, který stanoví svým opatřením děkan v souladu s čl. 4 odst. 1 Studijního a zkušebního řádu univerzity. Uchazeči, kteří obdrželi kladné rozhodnutí o přijetí ke studiu, se dostaví ve stanovených termínech k zápisu do studia; nemohou-li se ze závažných důvodů zápisu zúčastnit, sdělí tuto skutečnost nejpozději do posledního dne zápisu uchazečů o studium písemně studijnímu oddělení a požádají o stanovení náhradního termínu zápisu. </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 xml:space="preserve">Termín zápisu do dalšího úseku studia je stanoven harmonogramem. Zápisu do dalšího úseku studia předchází kontrola studijních povinností, která probíhá zpravidla v týdnu před zahájením výuky v zimním semestru. </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 xml:space="preserve">Při kontrole studijních povinností musí student předložit vlastnoručně podepsaný výpis splněných studijních povinností z předchozího úseku studia dokladující počet kreditů získaných v předchozím úseku studia a výsledek kontroly studia u jednotlivých předmětů (zápočet, klasifikovaný zápočet a zkouška). Předložení výpisu z předchozí věty je součástí kontroly studia ve smyslu čl. 4 odst. 9 Studijního a zkušebního řádu univerzity. Předložení výpisu dle první věty tohoto odstavce může být nahrazeno elektronickou kontrolou studijních povinností ve Studijním informačním systému univerzity. Student, který byl zapsán do dalšího úseku studia, má právo zapsat si jednotlivé předměty vypsané v rozvrhu na jednotlivé semestry daného akademického roku, Zápisem předmětů se rozumí elektronický zápis předmětu pomocí SIS UK. Student si může předmět zapsat, pokud je zapsán do daného úseku studia a splnil podmínky nutné k zapsání příslušného předmětu. Zápis jednotlivých předmětů se po uplynutí doby stanovené harmonogramem ukládá do databáze fakultního počítačového systému a slouží jako doklad o tom, že si student skutečně předmětu zapsal. </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Zápis předmětů pro jednotlivé semestry daného úseku studia probíhá zpravidla prvních pět pracovních dnů příslušného semestru a minimálně 5 pracovních dnů před zahájením příslušného semestru.</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 xml:space="preserve">Bližší podrobnosti týkající se způsobu a časového průběhu zápisu (do studia a jednotlivých úseků) a registrace do předmětů jsou stanoveny harmonogramem. </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V případě, že si student nezapíše předmět z omluvitelných důvodů (zejm. zdravotních) může podat žádost děkanovi o úřední zápis předmětů. Tuto žádost je možné podat nejpozději do konce šestého týdne výuky příslušného semestru.</w:t>
      </w:r>
    </w:p>
    <w:p w:rsidR="005D09CC" w:rsidRDefault="005D09CC">
      <w:pPr>
        <w:pStyle w:val="normal0"/>
        <w:numPr>
          <w:ilvl w:val="0"/>
          <w:numId w:val="12"/>
        </w:numPr>
        <w:spacing w:line="240" w:lineRule="auto"/>
        <w:ind w:hanging="360"/>
        <w:contextualSpacing/>
        <w:rPr>
          <w:rFonts w:ascii="Tahoma" w:hAnsi="Tahoma" w:cs="Tahoma"/>
          <w:sz w:val="18"/>
          <w:szCs w:val="18"/>
        </w:rPr>
      </w:pPr>
      <w:r>
        <w:rPr>
          <w:rFonts w:ascii="Tahoma" w:hAnsi="Tahoma" w:cs="Tahoma"/>
          <w:sz w:val="18"/>
          <w:szCs w:val="18"/>
        </w:rPr>
        <w:t>Obdobně je možné žádat ze závažných důvodů (zejm. zdravotních) děkana o výmaz registrace předmětů. Tuto žádost může podat student nejpozději do konce zkouškového období příslušného semestru. Podmínkou pro schválení žádosti o výmaz předmětu je souhlas garanta studijního programu a dále skutečnost, že student nezapočal plnit povinnosti stanovené pro hodnocení zápočtu nebo zkoušky z příslušného předmětu. Zdravotní důvody je nutno doložit potvrzením o trvání dočasné pracovní neschopnosti nebo karantény nebo lékařskou zprávou vystavenými ošetřujícím lékařem případně nemocnicí.</w:t>
      </w:r>
    </w:p>
    <w:p w:rsidR="005D09CC" w:rsidRDefault="005D09CC">
      <w:pPr>
        <w:pStyle w:val="normal0"/>
        <w:spacing w:after="75" w:line="240" w:lineRule="auto"/>
        <w:jc w:val="center"/>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12</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Průběh studia</w:t>
      </w:r>
    </w:p>
    <w:p w:rsidR="005D09CC" w:rsidRDefault="005D09CC">
      <w:pPr>
        <w:pStyle w:val="normal0"/>
        <w:numPr>
          <w:ilvl w:val="0"/>
          <w:numId w:val="15"/>
        </w:numPr>
        <w:spacing w:after="75" w:line="240" w:lineRule="auto"/>
        <w:ind w:left="709" w:hanging="425"/>
        <w:contextualSpacing/>
        <w:rPr>
          <w:sz w:val="18"/>
          <w:szCs w:val="18"/>
        </w:rPr>
      </w:pPr>
      <w:r>
        <w:rPr>
          <w:rFonts w:ascii="Tahoma" w:hAnsi="Tahoma" w:cs="Tahoma"/>
          <w:sz w:val="18"/>
          <w:szCs w:val="18"/>
        </w:rPr>
        <w:t>Studijní plány jsou na každý semestr upřesněny rozvrhem. Rozvrh musí být připraven nejpozději dvacet pracovních dní před zahájením výuky v příslušném semestru a zveřejněn deset pracovních dní před zahájením výuky v semestru v SIS UK.</w:t>
      </w:r>
    </w:p>
    <w:p w:rsidR="005D09CC" w:rsidRDefault="005D09CC">
      <w:pPr>
        <w:pStyle w:val="normal0"/>
        <w:numPr>
          <w:ilvl w:val="0"/>
          <w:numId w:val="15"/>
        </w:numPr>
        <w:spacing w:line="240" w:lineRule="auto"/>
        <w:ind w:hanging="360"/>
        <w:contextualSpacing/>
        <w:rPr>
          <w:sz w:val="18"/>
          <w:szCs w:val="18"/>
        </w:rPr>
      </w:pPr>
      <w:r>
        <w:rPr>
          <w:rFonts w:ascii="Tahoma" w:hAnsi="Tahoma" w:cs="Tahoma"/>
          <w:sz w:val="18"/>
          <w:szCs w:val="18"/>
        </w:rPr>
        <w:t>Všechny předměty na fakultě jsou jednosemestrální a jsou uzavřeny kontrolou studia předmětu (čl. 8). Pro každý předmět vypsaný v daném semestru vyhotovuje příslušný vyučující sylabus. Sylabus musí obsahovat kód předmětu, název předmětu (v českém i anglickém jazyce), stručnou charakteristiku předmětu, kreditní ohodnocení, jméno, příp. jména vyučujících, rozsah a formu výuky, podmínky pro zapsání předmětu, stručný program po týdnech, formu kontroly studia a seznam povinné, resp. doporučené literatury k předmětu. Garanti studijních programů odpovídají za to, že sylaby všech předmětů vypisovaných v rámci studijního programu v daném semestru jsou nejpozději první den výuky k dispozici studentům v SIS UK.</w:t>
      </w:r>
    </w:p>
    <w:p w:rsidR="005D09CC" w:rsidRDefault="005D09CC">
      <w:pPr>
        <w:pStyle w:val="normal0"/>
        <w:numPr>
          <w:ilvl w:val="0"/>
          <w:numId w:val="15"/>
        </w:numPr>
        <w:spacing w:line="240" w:lineRule="auto"/>
        <w:ind w:hanging="360"/>
        <w:contextualSpacing/>
        <w:rPr>
          <w:sz w:val="18"/>
          <w:szCs w:val="18"/>
        </w:rPr>
      </w:pPr>
      <w:r>
        <w:rPr>
          <w:rFonts w:ascii="Tahoma" w:hAnsi="Tahoma" w:cs="Tahoma"/>
          <w:sz w:val="18"/>
          <w:szCs w:val="18"/>
        </w:rPr>
        <w:t>Volitelný předmět musí mít student registrován v SIS UK v příslušném semestru, aby mohl být automaticky započten do splněných studijních povinností. V případě volitelných předmětů absolvovaných v minulosti, které si student neregistroval v SIS UK, je možné tyto předměty uznat jen na základě žádosti. K žádosti dle předchozí věty je nutné stanovisko garanta příslušného studijního programu.</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13</w:t>
      </w:r>
    </w:p>
    <w:p w:rsidR="005D09CC" w:rsidRDefault="005D09CC">
      <w:pPr>
        <w:pStyle w:val="normal0"/>
        <w:spacing w:after="75" w:line="240" w:lineRule="auto"/>
        <w:rPr>
          <w:rFonts w:ascii="Tahoma" w:hAnsi="Tahoma" w:cs="Tahoma"/>
          <w:sz w:val="18"/>
          <w:szCs w:val="18"/>
        </w:rPr>
      </w:pPr>
      <w:r>
        <w:rPr>
          <w:rFonts w:ascii="Tahoma" w:hAnsi="Tahoma" w:cs="Tahoma"/>
          <w:b/>
          <w:sz w:val="18"/>
          <w:szCs w:val="18"/>
        </w:rPr>
        <w:t>Povinnosti studentů bakalářského a navazujícího magisterského studia studujících v zahraničí v rámci programu Erasmus, mezifakultních a meziuniverzitních dohod a dalších dohod</w:t>
      </w:r>
    </w:p>
    <w:p w:rsidR="005D09CC" w:rsidRDefault="005D09CC">
      <w:pPr>
        <w:pStyle w:val="normal0"/>
        <w:spacing w:line="240" w:lineRule="auto"/>
        <w:jc w:val="both"/>
        <w:rPr>
          <w:rFonts w:ascii="Tahoma" w:hAnsi="Tahoma" w:cs="Tahoma"/>
          <w:sz w:val="18"/>
          <w:szCs w:val="18"/>
        </w:rPr>
      </w:pPr>
    </w:p>
    <w:p w:rsidR="005D09CC" w:rsidRDefault="005D09CC">
      <w:pPr>
        <w:pStyle w:val="normal0"/>
        <w:numPr>
          <w:ilvl w:val="0"/>
          <w:numId w:val="8"/>
        </w:numPr>
        <w:spacing w:line="240" w:lineRule="auto"/>
        <w:ind w:hanging="360"/>
        <w:contextualSpacing/>
        <w:rPr>
          <w:rFonts w:ascii="Tahoma" w:hAnsi="Tahoma" w:cs="Tahoma"/>
          <w:sz w:val="18"/>
          <w:szCs w:val="18"/>
        </w:rPr>
      </w:pPr>
      <w:r>
        <w:rPr>
          <w:rFonts w:ascii="Tahoma" w:hAnsi="Tahoma" w:cs="Tahoma"/>
          <w:sz w:val="18"/>
          <w:szCs w:val="18"/>
        </w:rPr>
        <w:t xml:space="preserve">1. Studenti, kteří vyjíždějí ke studiu do zahraničí v rámci programů Erasmus, mezifakultních a meziuniverzitních dohod mají tyto další povinnosti: </w:t>
      </w:r>
    </w:p>
    <w:p w:rsidR="005D09CC" w:rsidRDefault="005D09CC">
      <w:pPr>
        <w:pStyle w:val="normal0"/>
        <w:numPr>
          <w:ilvl w:val="1"/>
          <w:numId w:val="8"/>
        </w:numPr>
        <w:spacing w:line="240" w:lineRule="auto"/>
        <w:ind w:hanging="360"/>
        <w:contextualSpacing/>
        <w:rPr>
          <w:rFonts w:ascii="Tahoma" w:hAnsi="Tahoma" w:cs="Tahoma"/>
          <w:sz w:val="18"/>
          <w:szCs w:val="18"/>
        </w:rPr>
      </w:pPr>
      <w:r>
        <w:rPr>
          <w:rFonts w:ascii="Tahoma" w:hAnsi="Tahoma" w:cs="Tahoma"/>
          <w:sz w:val="18"/>
          <w:szCs w:val="18"/>
        </w:rPr>
        <w:t>při příjezdu z pobytu nahlásit svůj příjezd na oddělení zahraničních styků a dále předat k archivaci kopii protokolu o předmětech absolvovaných během studia v zahraničí (tzv. transkript),</w:t>
      </w:r>
    </w:p>
    <w:p w:rsidR="005D09CC" w:rsidRDefault="005D09CC">
      <w:pPr>
        <w:pStyle w:val="normal0"/>
        <w:numPr>
          <w:ilvl w:val="1"/>
          <w:numId w:val="8"/>
        </w:numPr>
        <w:spacing w:line="240" w:lineRule="auto"/>
        <w:ind w:hanging="360"/>
        <w:contextualSpacing/>
        <w:rPr>
          <w:rFonts w:ascii="Tahoma" w:hAnsi="Tahoma" w:cs="Tahoma"/>
          <w:sz w:val="18"/>
          <w:szCs w:val="18"/>
        </w:rPr>
      </w:pPr>
      <w:r>
        <w:rPr>
          <w:rFonts w:ascii="Tahoma" w:hAnsi="Tahoma" w:cs="Tahoma"/>
          <w:sz w:val="18"/>
          <w:szCs w:val="18"/>
        </w:rPr>
        <w:t>s garantem vyplnit formulář Protokol o splnění studijních povinností v zahraničí a nechat jej potvrdit proděkanem pro studijní záležitosti. Na základě potvrzeného protokolu dle předchozí věty provede studijní oddělení po předložení protokolu úřední zápis absolvování předmětů do systému SIS UK.</w:t>
      </w:r>
    </w:p>
    <w:p w:rsidR="005D09CC" w:rsidRDefault="005D09CC">
      <w:pPr>
        <w:pStyle w:val="normal0"/>
        <w:numPr>
          <w:ilvl w:val="0"/>
          <w:numId w:val="8"/>
        </w:numPr>
        <w:spacing w:line="240" w:lineRule="auto"/>
        <w:ind w:hanging="360"/>
        <w:contextualSpacing/>
        <w:rPr>
          <w:rFonts w:ascii="Tahoma" w:hAnsi="Tahoma" w:cs="Tahoma"/>
          <w:sz w:val="18"/>
          <w:szCs w:val="18"/>
        </w:rPr>
      </w:pPr>
      <w:r>
        <w:rPr>
          <w:rFonts w:ascii="Tahoma" w:hAnsi="Tahoma" w:cs="Tahoma"/>
          <w:sz w:val="18"/>
          <w:szCs w:val="18"/>
        </w:rPr>
        <w:t>Studenti, kteří odjíždějí na pobyt, na který nejsou vysláni fakultou, musí plnit všechny povinnosti uložené Pravidly, nebo požádat o individuální studijní plán, nebo přerušit studium.</w:t>
      </w:r>
    </w:p>
    <w:p w:rsidR="005D09CC" w:rsidRDefault="005D09CC">
      <w:pPr>
        <w:pStyle w:val="normal0"/>
        <w:numPr>
          <w:ilvl w:val="0"/>
          <w:numId w:val="8"/>
        </w:numPr>
        <w:spacing w:line="240" w:lineRule="auto"/>
        <w:ind w:hanging="360"/>
        <w:contextualSpacing/>
        <w:rPr>
          <w:rFonts w:ascii="Tahoma" w:hAnsi="Tahoma" w:cs="Tahoma"/>
          <w:sz w:val="18"/>
          <w:szCs w:val="18"/>
        </w:rPr>
      </w:pPr>
      <w:r>
        <w:rPr>
          <w:rFonts w:ascii="Tahoma" w:hAnsi="Tahoma" w:cs="Tahoma"/>
          <w:sz w:val="18"/>
          <w:szCs w:val="18"/>
        </w:rPr>
        <w:t>Kredity přiznané v zahraničí dle odstavců 1 a 4 se započítávají do minimálních studijních povinností (čl. 4) a známky, které garant na základě výsledků v zahraničí stanoví, platí pro výpočet prospěchového stipendia za daný úsek studia.</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14</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Bakalářské a diplomové práce</w:t>
      </w:r>
    </w:p>
    <w:p w:rsidR="005D09CC" w:rsidRDefault="005D09CC">
      <w:pPr>
        <w:pStyle w:val="normal0"/>
        <w:spacing w:line="240" w:lineRule="auto"/>
        <w:jc w:val="both"/>
        <w:rPr>
          <w:rFonts w:ascii="Tahoma" w:hAnsi="Tahoma" w:cs="Tahoma"/>
          <w:sz w:val="18"/>
          <w:szCs w:val="18"/>
        </w:rPr>
      </w:pPr>
    </w:p>
    <w:p w:rsidR="005D09CC" w:rsidRDefault="005D09CC">
      <w:pPr>
        <w:pStyle w:val="normal0"/>
        <w:numPr>
          <w:ilvl w:val="0"/>
          <w:numId w:val="5"/>
        </w:numPr>
        <w:spacing w:line="240" w:lineRule="auto"/>
        <w:ind w:hanging="360"/>
        <w:contextualSpacing/>
        <w:rPr>
          <w:rFonts w:ascii="Tahoma" w:hAnsi="Tahoma" w:cs="Tahoma"/>
          <w:sz w:val="18"/>
          <w:szCs w:val="18"/>
        </w:rPr>
      </w:pPr>
      <w:r>
        <w:rPr>
          <w:rFonts w:ascii="Tahoma" w:hAnsi="Tahoma" w:cs="Tahoma"/>
          <w:sz w:val="18"/>
          <w:szCs w:val="18"/>
        </w:rPr>
        <w:t xml:space="preserve">Bakalářská, resp. diplomová práce (dále jen „práce“), se zadává a předkládá v termínech stanovených v harmonogramu </w:t>
      </w:r>
    </w:p>
    <w:p w:rsidR="005D09CC" w:rsidRDefault="005D09CC">
      <w:pPr>
        <w:pStyle w:val="normal0"/>
        <w:numPr>
          <w:ilvl w:val="0"/>
          <w:numId w:val="5"/>
        </w:numPr>
        <w:spacing w:line="240" w:lineRule="auto"/>
        <w:ind w:hanging="360"/>
        <w:contextualSpacing/>
        <w:rPr>
          <w:rFonts w:ascii="Tahoma" w:hAnsi="Tahoma" w:cs="Tahoma"/>
          <w:sz w:val="18"/>
          <w:szCs w:val="18"/>
        </w:rPr>
      </w:pPr>
      <w:r>
        <w:rPr>
          <w:rFonts w:ascii="Tahoma" w:hAnsi="Tahoma" w:cs="Tahoma"/>
          <w:sz w:val="18"/>
          <w:szCs w:val="18"/>
        </w:rPr>
        <w:t xml:space="preserve">Téma si student zadává formou žádosti vedoucímu katedry, resp. pracovníkovi pověřenému správou prací. Žádost musí mít charakter tezí, tj. musí obsahovat (a) předpokládaný název práce, (b) stručnou charakteristiku tématu a stávající literatury k ní, (c) metody práce, (d) předpokládanou strukturu a (e) základní literaturu, (f) podpis navrhovaného vedoucího práce. Žádost se zpravidla podává nejméně jeden rok před předpokládaným termínem konání státních zkoušek, nejpozději musí být podána osm měsíců před termínem konání státních zkoušek. O přijetí tezí (včetně případných změn, navržení konzultanta apod.) rozhoduje stanoveným způsobem garant studijního programu, podrobnosti může upravit vyhláška ředitele. </w:t>
      </w:r>
    </w:p>
    <w:p w:rsidR="005D09CC" w:rsidRDefault="005D09CC">
      <w:pPr>
        <w:pStyle w:val="normal0"/>
        <w:numPr>
          <w:ilvl w:val="0"/>
          <w:numId w:val="5"/>
        </w:numPr>
        <w:spacing w:line="240" w:lineRule="auto"/>
        <w:ind w:hanging="360"/>
        <w:contextualSpacing/>
        <w:rPr>
          <w:rFonts w:ascii="Tahoma" w:hAnsi="Tahoma" w:cs="Tahoma"/>
          <w:sz w:val="18"/>
          <w:szCs w:val="18"/>
        </w:rPr>
      </w:pPr>
      <w:r>
        <w:rPr>
          <w:rFonts w:ascii="Tahoma" w:hAnsi="Tahoma" w:cs="Tahoma"/>
          <w:sz w:val="18"/>
          <w:szCs w:val="18"/>
        </w:rPr>
        <w:t>Práce se odevzdává elektronicky a ve dvou tištěných kopiích v kroužkové nebo pevné vazbě v termínu stanoveném dle odstavce 1. Práce musí vyhovovat kritériím stanovených fakultou, splňovat náležitosti odborného textu a mít příslušný rozsah (rozsah se počítá v normostranách, jež jsou definovány počtem 1800 znaků s mezerami na stranu). Práce musí obsahovat schválené teze a cizojazyčný abstrakt. Bakalářské práce musí mít rozsah nejméně 30 normostran (54 tisíc znaků s mezerami) bez abstraktu a příloh, diplomové práce nejméně 60 normostran (108 tisíc znaků s mezerami) bez abstraktu a příloh. V případě, že je diplomová práce napsaná v anglickém jazyce, je minimální rozsah 50 normostran (90 000 znaků s mezerami) bez abstraktu, příloh a seznamu literatury. Práce musí mít úpravu titulní strany předepsanou fakultou a obsahovat podepsané prohlášení autora potvrzující původnost textu, jeho rozsah a úplnost uvedených pramenů a literatury. Detaily stanoví opatření děkana.</w:t>
      </w:r>
    </w:p>
    <w:p w:rsidR="005D09CC" w:rsidRDefault="005D09CC">
      <w:pPr>
        <w:pStyle w:val="normal0"/>
        <w:numPr>
          <w:ilvl w:val="0"/>
          <w:numId w:val="5"/>
        </w:numPr>
        <w:spacing w:line="240" w:lineRule="auto"/>
        <w:ind w:hanging="360"/>
        <w:contextualSpacing/>
        <w:rPr>
          <w:rFonts w:ascii="Tahoma" w:hAnsi="Tahoma" w:cs="Tahoma"/>
          <w:sz w:val="18"/>
          <w:szCs w:val="18"/>
        </w:rPr>
      </w:pPr>
      <w:r>
        <w:rPr>
          <w:rFonts w:ascii="Tahoma" w:hAnsi="Tahoma" w:cs="Tahoma"/>
          <w:sz w:val="18"/>
          <w:szCs w:val="18"/>
        </w:rPr>
        <w:t>Zveřejňování prací dle čl. 12 Studijního a zkušebního řádu univerzity upravuje opatření rektora.</w:t>
      </w:r>
    </w:p>
    <w:p w:rsidR="005D09CC" w:rsidRDefault="005D09CC">
      <w:pPr>
        <w:pStyle w:val="normal0"/>
        <w:numPr>
          <w:ilvl w:val="0"/>
          <w:numId w:val="5"/>
        </w:numPr>
        <w:spacing w:line="240" w:lineRule="auto"/>
        <w:ind w:hanging="360"/>
        <w:contextualSpacing/>
        <w:rPr>
          <w:rFonts w:ascii="Tahoma" w:hAnsi="Tahoma" w:cs="Tahoma"/>
          <w:sz w:val="18"/>
          <w:szCs w:val="18"/>
        </w:rPr>
      </w:pPr>
      <w:r>
        <w:rPr>
          <w:rFonts w:ascii="Tahoma" w:hAnsi="Tahoma" w:cs="Tahoma"/>
          <w:sz w:val="18"/>
          <w:szCs w:val="18"/>
        </w:rPr>
        <w:t>Každou předloženou práci musí písemně posoudit její vedoucí a jeden oponent. Oponenta práce určuje garant příslušného studijního programu po odevzdání práce. Posudky vedoucího práce a oponenta musí být autorovi práce k dispozici nejpozději pět pracovních dnů před termínem konání státní zkoušky  v SIS UK . Detaily stanoví opatření děkana. Posudky musí obsahovat výslovné doporučení/nedoporučení práce k obhajobě a také návrh klasifikace práce. V případě, že jsou oba posudky nedoporučující, student má možnost přihlášku ke státní zkoušce stáhnout. Jeden akademický pracovník může vést současně maximálně 20 bakalářských prací a 15 diplomových prací.</w:t>
      </w:r>
    </w:p>
    <w:p w:rsidR="005D09CC" w:rsidRDefault="005D09CC">
      <w:pPr>
        <w:pStyle w:val="normal0"/>
      </w:pPr>
      <w:r>
        <w:br w:type="page"/>
      </w:r>
    </w:p>
    <w:p w:rsidR="005D09CC" w:rsidRDefault="005D09CC">
      <w:pPr>
        <w:pStyle w:val="normal0"/>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Část III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Podrobnosti o organizaci studia v doktorských studijních programech</w:t>
      </w:r>
      <w:r>
        <w:rPr>
          <w:rFonts w:ascii="Tahoma" w:hAnsi="Tahoma" w:cs="Tahoma"/>
          <w:sz w:val="18"/>
          <w:szCs w:val="18"/>
        </w:rPr>
        <w:t xml:space="preserve">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15</w:t>
      </w:r>
      <w:r>
        <w:rPr>
          <w:rFonts w:ascii="Tahoma" w:hAnsi="Tahoma" w:cs="Tahoma"/>
          <w:sz w:val="18"/>
          <w:szCs w:val="18"/>
        </w:rPr>
        <w:t xml:space="preserve">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Zápis do studia, individuální studijní plán </w:t>
      </w:r>
    </w:p>
    <w:p w:rsidR="005D09CC" w:rsidRDefault="005D09CC">
      <w:pPr>
        <w:pStyle w:val="normal0"/>
        <w:spacing w:after="75" w:line="240" w:lineRule="auto"/>
        <w:jc w:val="center"/>
        <w:rPr>
          <w:rFonts w:ascii="Tahoma" w:hAnsi="Tahoma" w:cs="Tahoma"/>
          <w:sz w:val="18"/>
          <w:szCs w:val="18"/>
        </w:rPr>
      </w:pP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 xml:space="preserve">Termín zápisu uchazečů přijatých ke studiu je stanoven harmonogramem. Uchazeči, kteří obdrželi rozhodnutí o přijetí ke studiu, se dostaví ve stanovených termínech k zápisu do studia; nemohou-li se ze závažných důvodů zápisu zúčastnit, sdělí tuto skutečnost nejpozději do posledního dne zápisu písemně studijnímu oddělení. </w:t>
      </w: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Nejpozději dva měsíce po zápisu do studia předloží student oborové radě sestavený individuální studijní plán schválený školitelem, který musí být v souladu s akreditací daného doktorského studijního programu. Za sestavení individuálního studijního plánu odpovídá školitel, pokud student neposkytne součinnost při jeho sestavování, sestaví jej školitel sám. Individuální studijní plán vždy obsahuje:</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plán postupu v přípravě disertační práce včetně časového harmonogramu plnění,</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 xml:space="preserve">podmínky umožňující konání státní doktorské zkoušky, </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 xml:space="preserve">studijní povinnosti včetně časového harmonogramu jejich plnění, </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 xml:space="preserve">publikační aktivity včetně časového harmonogramu jejich plnění,  </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 xml:space="preserve">účast na konferencích včetně časového harmonogramu jejich plnění,  </w:t>
      </w:r>
    </w:p>
    <w:p w:rsidR="005D09CC" w:rsidRDefault="005D09CC">
      <w:pPr>
        <w:pStyle w:val="normal0"/>
        <w:numPr>
          <w:ilvl w:val="1"/>
          <w:numId w:val="13"/>
        </w:numPr>
        <w:spacing w:line="240" w:lineRule="auto"/>
        <w:ind w:hanging="360"/>
        <w:contextualSpacing/>
        <w:rPr>
          <w:rFonts w:ascii="Tahoma" w:hAnsi="Tahoma" w:cs="Tahoma"/>
          <w:sz w:val="18"/>
          <w:szCs w:val="18"/>
        </w:rPr>
      </w:pPr>
      <w:r>
        <w:rPr>
          <w:rFonts w:ascii="Tahoma" w:hAnsi="Tahoma" w:cs="Tahoma"/>
          <w:sz w:val="18"/>
          <w:szCs w:val="18"/>
        </w:rPr>
        <w:t xml:space="preserve">stáže včetně časového harmonogramu jejich plnění,   </w:t>
      </w: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Individuální studijní plán se sestavuje tak, aby předpokládal, že student absolvuje státní doktorskou zkoušku nejpozději do konce čtvrtého roku studia (tedy nejpozději v den 1461 svého studia).</w:t>
      </w: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 xml:space="preserve">V souladu s termínem stanoveným oborovou radou, nejpozději však před začátkem každého akademického roku, předloží student po schválení školitelem oborové radě upřesněné studijní aktivity pro nadcházející akademický rok, případně navrhne změny v individuálním studijním plánu. </w:t>
      </w: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 xml:space="preserve">Individuální studijní plán, každoroční upřesnění individuálního studijního plánu a změny v individuálním studijním plánu musí být schváleny školitelem a oborovou radou příslušného oboru. Ustanovení odstavce 2 se užije obdobně. </w:t>
      </w:r>
    </w:p>
    <w:p w:rsidR="005D09CC" w:rsidRDefault="005D09CC">
      <w:pPr>
        <w:pStyle w:val="normal0"/>
        <w:numPr>
          <w:ilvl w:val="0"/>
          <w:numId w:val="13"/>
        </w:numPr>
        <w:spacing w:line="240" w:lineRule="auto"/>
        <w:ind w:hanging="360"/>
        <w:contextualSpacing/>
        <w:rPr>
          <w:rFonts w:ascii="Tahoma" w:hAnsi="Tahoma" w:cs="Tahoma"/>
          <w:sz w:val="18"/>
          <w:szCs w:val="18"/>
        </w:rPr>
      </w:pPr>
      <w:r>
        <w:rPr>
          <w:rFonts w:ascii="Tahoma" w:hAnsi="Tahoma" w:cs="Tahoma"/>
          <w:sz w:val="18"/>
          <w:szCs w:val="18"/>
        </w:rPr>
        <w:t>Jeden školitel vede současně maximálně deset studentů doktorských studijních programů.</w:t>
      </w:r>
    </w:p>
    <w:p w:rsidR="005D09CC" w:rsidRDefault="005D09CC">
      <w:pPr>
        <w:pStyle w:val="normal0"/>
        <w:spacing w:line="240" w:lineRule="auto"/>
        <w:ind w:left="720"/>
        <w:rPr>
          <w:rFonts w:ascii="Tahoma" w:hAnsi="Tahoma" w:cs="Tahoma"/>
          <w:sz w:val="18"/>
          <w:szCs w:val="18"/>
        </w:rPr>
      </w:pP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Čl. 16</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Průběh, přerušení a kontrola studia </w:t>
      </w:r>
    </w:p>
    <w:p w:rsidR="005D09CC" w:rsidRDefault="005D09CC">
      <w:pPr>
        <w:pStyle w:val="normal0"/>
        <w:spacing w:line="240" w:lineRule="auto"/>
        <w:jc w:val="center"/>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numPr>
          <w:ilvl w:val="0"/>
          <w:numId w:val="6"/>
        </w:numPr>
        <w:spacing w:line="240" w:lineRule="auto"/>
        <w:ind w:hanging="360"/>
        <w:contextualSpacing/>
        <w:rPr>
          <w:rFonts w:ascii="Tahoma" w:hAnsi="Tahoma" w:cs="Tahoma"/>
          <w:sz w:val="18"/>
          <w:szCs w:val="18"/>
        </w:rPr>
      </w:pPr>
      <w:r>
        <w:rPr>
          <w:rFonts w:ascii="Tahoma" w:hAnsi="Tahoma" w:cs="Tahoma"/>
          <w:sz w:val="18"/>
          <w:szCs w:val="18"/>
        </w:rPr>
        <w:t>Student plní studijní povinnosti v souladu se schváleným individuálním studijním plánem.</w:t>
      </w:r>
    </w:p>
    <w:p w:rsidR="005D09CC" w:rsidRDefault="005D09CC">
      <w:pPr>
        <w:pStyle w:val="normal0"/>
        <w:numPr>
          <w:ilvl w:val="0"/>
          <w:numId w:val="6"/>
        </w:numPr>
        <w:spacing w:line="240" w:lineRule="auto"/>
        <w:ind w:hanging="360"/>
        <w:contextualSpacing/>
        <w:rPr>
          <w:rFonts w:ascii="Tahoma" w:hAnsi="Tahoma" w:cs="Tahoma"/>
          <w:sz w:val="18"/>
          <w:szCs w:val="18"/>
        </w:rPr>
      </w:pPr>
      <w:r>
        <w:rPr>
          <w:rFonts w:ascii="Tahoma" w:hAnsi="Tahoma" w:cs="Tahoma"/>
          <w:sz w:val="18"/>
          <w:szCs w:val="18"/>
        </w:rPr>
        <w:t xml:space="preserve">V termínech stanovených oborovou radou školitel předloží oborové radě přehled plnění povinností stanovených individuálním studijním plánem za období specifikované oborovou radou. </w:t>
      </w:r>
    </w:p>
    <w:p w:rsidR="005D09CC" w:rsidRDefault="005D09CC">
      <w:pPr>
        <w:pStyle w:val="normal0"/>
        <w:numPr>
          <w:ilvl w:val="0"/>
          <w:numId w:val="6"/>
        </w:numPr>
        <w:spacing w:line="240" w:lineRule="auto"/>
        <w:ind w:hanging="360"/>
        <w:contextualSpacing/>
        <w:rPr>
          <w:rFonts w:ascii="Tahoma" w:hAnsi="Tahoma" w:cs="Tahoma"/>
          <w:sz w:val="18"/>
          <w:szCs w:val="18"/>
        </w:rPr>
      </w:pPr>
      <w:r>
        <w:rPr>
          <w:rFonts w:ascii="Tahoma" w:hAnsi="Tahoma" w:cs="Tahoma"/>
          <w:sz w:val="18"/>
          <w:szCs w:val="18"/>
        </w:rPr>
        <w:t xml:space="preserve">V případě hodnocení podle čl. 10 odst. 8 písm. b) Studijního a zkušebního řádu univerzity oborová rada stanoví, jakým způsobem student nedostatky napraví a stanoví k této nápravě termín; tyto náležitosti se považují za součást individuálního studijního plánu, která podléhá hodnocení podle čl. 10 odst. 8 Studijního a zkušebního řádu univerzity. </w:t>
      </w:r>
    </w:p>
    <w:p w:rsidR="005D09CC" w:rsidRDefault="005D09CC">
      <w:pPr>
        <w:pStyle w:val="normal0"/>
        <w:numPr>
          <w:ilvl w:val="0"/>
          <w:numId w:val="6"/>
        </w:numPr>
        <w:spacing w:line="240" w:lineRule="auto"/>
        <w:ind w:hanging="360"/>
        <w:contextualSpacing/>
        <w:rPr>
          <w:rFonts w:ascii="Tahoma" w:hAnsi="Tahoma" w:cs="Tahoma"/>
          <w:sz w:val="18"/>
          <w:szCs w:val="18"/>
        </w:rPr>
      </w:pPr>
      <w:r>
        <w:rPr>
          <w:rFonts w:ascii="Tahoma" w:hAnsi="Tahoma" w:cs="Tahoma"/>
          <w:sz w:val="18"/>
          <w:szCs w:val="18"/>
        </w:rPr>
        <w:t xml:space="preserve">Po ukončení přerušení studia má student povinnost se ke studiu znovu zapsat a předložit prostřednictvím svého školitele oborové radě přehled plnění povinností za období od minulého hodnocení oborovou radou do okamžiku opětovného zápisu do studia. Zároveň student se souhlasem školitele předloží oborové radě upřesněné studijní aktivity pro nadcházející období, případně navrhne změny v individuálním studijním plánu. Tyto úkony je třeba učinit do jednoho měsíce od opětovného zápisu do studia. A pokud to doktorand neučiní? Jaké jsou / budou možnosti školitele?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Čl. 17</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Státní doktorská zkouška </w:t>
      </w:r>
    </w:p>
    <w:p w:rsidR="005D09CC" w:rsidRDefault="005D09CC">
      <w:pPr>
        <w:pStyle w:val="normal0"/>
        <w:spacing w:line="240" w:lineRule="auto"/>
        <w:jc w:val="center"/>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numPr>
          <w:ilvl w:val="0"/>
          <w:numId w:val="2"/>
        </w:numPr>
        <w:spacing w:line="240" w:lineRule="auto"/>
        <w:ind w:hanging="360"/>
        <w:contextualSpacing/>
        <w:rPr>
          <w:rFonts w:ascii="Tahoma" w:hAnsi="Tahoma" w:cs="Tahoma"/>
          <w:sz w:val="18"/>
          <w:szCs w:val="18"/>
        </w:rPr>
      </w:pPr>
      <w:r>
        <w:rPr>
          <w:rFonts w:ascii="Tahoma" w:hAnsi="Tahoma" w:cs="Tahoma"/>
          <w:sz w:val="18"/>
          <w:szCs w:val="18"/>
        </w:rPr>
        <w:t xml:space="preserve">Státní doktorskou zkoušku je možné konat až po splnění podmínek stanovených schváleným individuálním studijním plánem dle čl. 15 odst. 2 písm. b). </w:t>
      </w:r>
    </w:p>
    <w:p w:rsidR="005D09CC" w:rsidRDefault="005D09CC">
      <w:pPr>
        <w:pStyle w:val="normal0"/>
        <w:numPr>
          <w:ilvl w:val="0"/>
          <w:numId w:val="2"/>
        </w:numPr>
        <w:spacing w:line="240" w:lineRule="auto"/>
        <w:ind w:hanging="360"/>
        <w:contextualSpacing/>
        <w:rPr>
          <w:rFonts w:ascii="Tahoma" w:hAnsi="Tahoma" w:cs="Tahoma"/>
          <w:sz w:val="18"/>
          <w:szCs w:val="18"/>
        </w:rPr>
      </w:pPr>
      <w:r>
        <w:rPr>
          <w:rFonts w:ascii="Tahoma" w:hAnsi="Tahoma" w:cs="Tahoma"/>
          <w:sz w:val="18"/>
          <w:szCs w:val="18"/>
        </w:rPr>
        <w:t xml:space="preserve">Ke státní doktorské zkoušce se student přihlašuje nejpozději jeden měsíc před začátkem období určeného pro konání státních doktorských zkoušek dle harmonogramu.  </w:t>
      </w:r>
    </w:p>
    <w:p w:rsidR="005D09CC" w:rsidRDefault="005D09CC">
      <w:pPr>
        <w:pStyle w:val="normal0"/>
        <w:spacing w:after="75" w:line="240" w:lineRule="auto"/>
        <w:jc w:val="center"/>
        <w:rPr>
          <w:rFonts w:ascii="Tahoma" w:hAnsi="Tahoma" w:cs="Tahoma"/>
          <w:sz w:val="18"/>
          <w:szCs w:val="18"/>
        </w:rPr>
      </w:pP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Čl. 18</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Obhajoba disertační práce </w:t>
      </w:r>
    </w:p>
    <w:p w:rsidR="005D09CC" w:rsidRDefault="005D09CC">
      <w:pPr>
        <w:pStyle w:val="normal0"/>
        <w:spacing w:line="240" w:lineRule="auto"/>
        <w:jc w:val="center"/>
        <w:rPr>
          <w:rFonts w:ascii="Tahoma" w:hAnsi="Tahoma" w:cs="Tahoma"/>
          <w:sz w:val="18"/>
          <w:szCs w:val="18"/>
        </w:rPr>
      </w:pP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 xml:space="preserve">Podmínkou pro podání přihlášky k obhajobě disertační práce je úspěšné složení státní doktorské zkoušky a splnění všech ostatních povinností vyplývajících z individuálního studijního plánu. </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Podmínkou pro konání obhajoby disertační práce je kromě podání přihlášky dle předchozího odstavce též předložení hodnocení studia doktorského studijního programu jeho školitelem.</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Student doktorského studijního programu podává přihlášku k obhajobě současně s disertační prací a všemi předepsanými formuláři nejpozději 60 dní před plánovaným termínem obhajoby. Aby bylo možné konat případný opravný termín, je třeba podat přihlášku k obhajobě nejméně osm měsíců před uplynutím maximální doby studia.</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 xml:space="preserve">Disertační práce musí být odevzdána k obhajobě ve dvou tištěných exemplářích v kroužkové nebo pevné vazbě, práce musí obsahovat český a anglický abstrakt. </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Student odevzdává s disertační prací rovněž 2 vytištěné exempláře tezí, které budou k dispozici společně s prací zkušební komisi pro obhajobu disertační práce. Teze obsahují stručně základní obsah disertační práce a mají rozsah mezi 15 až 20 normostranami. Teze musí obsahovat český a anglický abstrakt.</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Elektronickou verzi práce (totožnou s verzí tištěnou) a teze vkládá student prostřednictvím webového rozhraní do SIS UK.</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Termín pro odevzdání práce v tištěné i elektronické podobě je shodný, práce je považována za odevzdanou, pokud student v termínu odevzdal obě podoby práce.</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 xml:space="preserve">Disertační práce prokazuje schopnost a připravenost k samostatné činnosti v oblasti výzkumu nebo k samostatné teoretické činnosti. Disertační práce je původní studií, která přináší nové teoretické či empirické poznatky nebo originální metodologické postupy. </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Disertační práce musí splňovat veškeré metodické a metodologické nároky kladené na vědecké texty. Doporučený rozsah práce je mezi 100 a 250 normostranami bez abstraktu, příloh a seznamu literatury. Disertační práce může být buď tematicky a metodologicky uceleným textem, nebo souborem statí s integrujícím úvodním a závěrečným textem.</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Výsledky disertační práce musí být publikovány či přijaty k publikování. Výsledky disertační práce mohou být publikovány jako knižní monografie nebo v podobě dílčích studií v recenzovaných vědeckých časopisech.</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 xml:space="preserve">Disertační práce je psána v jazyce, ve kterém je akreditován studijní program nebo v jazyce anglickém. Disertační práci je možné psát v jiném jazyce, pokud k tomu dá souhlas oborová rada příslušného studijního programu. </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 xml:space="preserve">Zkušební komise pro obhajobu disertační práce ustanoví dva oponenty disertační práce, kteří vypracují posudek na předloženou disertační práci. V případě, že oponentské posudky jsou výrazně rozdílné, stanoví zkušební komise pro obhajobu disertační práce třetího oponenta pro vypracování dalšího posudku disertační práce. Pro studijní program Ekonomie ustanoví oborová rada vždy tři oponenty disertační práce. Posudky musí být studentovi k dispozici nejpozději pět pracovních dnů před termínem konání obhajoby. </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V případě, že je některý z posudků nedoporučující, student má možnost přihlášku k obhajobě stáhnout. Tuto možnost má student pouze jednou a za podmínky, že předsedovi oborové rady oznámí stažení přihlášky k obhajobě nejméně 4 pracovní dny před termínem konání obhajoby.</w:t>
      </w:r>
    </w:p>
    <w:p w:rsidR="005D09CC" w:rsidRDefault="005D09CC">
      <w:pPr>
        <w:pStyle w:val="normal0"/>
        <w:numPr>
          <w:ilvl w:val="0"/>
          <w:numId w:val="4"/>
        </w:numPr>
        <w:spacing w:line="240" w:lineRule="auto"/>
        <w:ind w:hanging="360"/>
        <w:contextualSpacing/>
        <w:rPr>
          <w:rFonts w:ascii="Tahoma" w:hAnsi="Tahoma" w:cs="Tahoma"/>
          <w:sz w:val="18"/>
          <w:szCs w:val="18"/>
        </w:rPr>
      </w:pPr>
      <w:r>
        <w:rPr>
          <w:rFonts w:ascii="Tahoma" w:hAnsi="Tahoma" w:cs="Tahoma"/>
          <w:sz w:val="18"/>
          <w:szCs w:val="18"/>
        </w:rPr>
        <w:t>Další podrobnosti organizace oborových rad a časový plán jejich fungování stanoví opatření děkana.</w:t>
      </w:r>
    </w:p>
    <w:p w:rsidR="005D09CC" w:rsidRDefault="005D09CC">
      <w:pPr>
        <w:pStyle w:val="normal0"/>
        <w:spacing w:after="75" w:line="240" w:lineRule="auto"/>
        <w:rPr>
          <w:rFonts w:ascii="Tahoma" w:hAnsi="Tahoma" w:cs="Tahoma"/>
          <w:sz w:val="18"/>
          <w:szCs w:val="18"/>
        </w:rPr>
      </w:pP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Část IV </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 xml:space="preserve">Společná, přechodná a závěrečná ustanovení </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Čl. 19</w:t>
      </w: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 xml:space="preserve">Společná ustanovení </w:t>
      </w:r>
    </w:p>
    <w:p w:rsidR="005D09CC" w:rsidRDefault="005D09CC">
      <w:pPr>
        <w:pStyle w:val="normal0"/>
        <w:spacing w:line="240" w:lineRule="auto"/>
        <w:ind w:left="426"/>
        <w:jc w:val="both"/>
        <w:rPr>
          <w:rFonts w:ascii="Tahoma" w:hAnsi="Tahoma" w:cs="Tahoma"/>
          <w:sz w:val="18"/>
          <w:szCs w:val="18"/>
        </w:rPr>
      </w:pPr>
      <w:r>
        <w:rPr>
          <w:rFonts w:ascii="Tahoma" w:hAnsi="Tahoma" w:cs="Tahoma"/>
          <w:sz w:val="18"/>
          <w:szCs w:val="18"/>
        </w:rPr>
        <w:t>K vyřizování podání studentů ve věcech organizace studia dle čl. 17 Studijního a zkušebního řádu je příslušný proděkan, který je odpovědný za bakalářské studium v případě, že jde o podání studenta bakalářského studijního programu. K vyřizování podání studenta navazujícího magisterského studijního programu je příslušný proděkan, který je odpovědný za navazující magisterské studium. K vyřizování podání studenta doktorského studijního je příslušný proděkan, který je odpovědný za doktorské studium. Přezkoumání přísluší děkanovi fakulty.</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Čl. 20</w:t>
      </w:r>
    </w:p>
    <w:p w:rsidR="005D09CC" w:rsidRDefault="005D09CC">
      <w:pPr>
        <w:pStyle w:val="normal0"/>
        <w:spacing w:line="240" w:lineRule="auto"/>
        <w:jc w:val="center"/>
        <w:rPr>
          <w:rFonts w:ascii="Tahoma" w:hAnsi="Tahoma" w:cs="Tahoma"/>
          <w:sz w:val="18"/>
          <w:szCs w:val="18"/>
        </w:rPr>
      </w:pPr>
      <w:r>
        <w:rPr>
          <w:rFonts w:ascii="Tahoma" w:hAnsi="Tahoma" w:cs="Tahoma"/>
          <w:b/>
          <w:sz w:val="18"/>
          <w:szCs w:val="18"/>
        </w:rPr>
        <w:t xml:space="preserve">Přechodná ustanovení </w:t>
      </w:r>
    </w:p>
    <w:p w:rsidR="005D09CC" w:rsidRDefault="005D09CC">
      <w:pPr>
        <w:pStyle w:val="normal0"/>
        <w:spacing w:line="240" w:lineRule="auto"/>
        <w:rPr>
          <w:rFonts w:ascii="Tahoma" w:hAnsi="Tahoma" w:cs="Tahoma"/>
          <w:sz w:val="18"/>
          <w:szCs w:val="18"/>
        </w:rPr>
      </w:pPr>
    </w:p>
    <w:p w:rsidR="005D09CC" w:rsidRDefault="005D09CC">
      <w:pPr>
        <w:pStyle w:val="normal0"/>
        <w:numPr>
          <w:ilvl w:val="0"/>
          <w:numId w:val="1"/>
        </w:numPr>
        <w:spacing w:line="240" w:lineRule="auto"/>
        <w:ind w:left="284" w:firstLine="360"/>
        <w:contextualSpacing/>
        <w:rPr>
          <w:rFonts w:ascii="Tahoma" w:hAnsi="Tahoma" w:cs="Tahoma"/>
          <w:sz w:val="18"/>
          <w:szCs w:val="18"/>
        </w:rPr>
      </w:pPr>
      <w:r>
        <w:rPr>
          <w:rFonts w:ascii="Tahoma" w:hAnsi="Tahoma" w:cs="Tahoma"/>
          <w:sz w:val="18"/>
          <w:szCs w:val="18"/>
        </w:rPr>
        <w:t>Na průběh a kontrolu studia dle čl. 4 u studentů zapsaných do studia v akademickém roce 2016/2017 a dříve se do konce jejich studia vztahují dosavadní Pravidla. U studentů nově zapsaných ke studiu v akademickém roce 2017/2018 se již od kontroly studijních povinností po prvním ročníku použije nově schválených Pravidel.</w:t>
      </w:r>
    </w:p>
    <w:p w:rsidR="005D09CC" w:rsidRDefault="005D09CC">
      <w:pPr>
        <w:pStyle w:val="normal0"/>
        <w:numPr>
          <w:ilvl w:val="0"/>
          <w:numId w:val="1"/>
        </w:numPr>
        <w:spacing w:line="240" w:lineRule="auto"/>
        <w:ind w:left="284" w:firstLine="360"/>
        <w:contextualSpacing/>
        <w:rPr>
          <w:rFonts w:ascii="Tahoma" w:hAnsi="Tahoma" w:cs="Tahoma"/>
          <w:sz w:val="18"/>
          <w:szCs w:val="18"/>
        </w:rPr>
      </w:pPr>
      <w:r>
        <w:rPr>
          <w:rFonts w:ascii="Tahoma" w:hAnsi="Tahoma" w:cs="Tahoma"/>
          <w:sz w:val="18"/>
          <w:szCs w:val="18"/>
        </w:rPr>
        <w:t xml:space="preserve">Úprava studia v doktorských studijních programech dle části III. těchto Pravidel se použije pro studenty zapsané ke studiu po nabytí účinnosti tohoto předpisu. Pro ostatní studenty doktorských studijních programů zapsaných ke studiu před účinností tohoto předpisu se použijí dosavadní Pravidla. </w:t>
      </w:r>
    </w:p>
    <w:p w:rsidR="005D09CC" w:rsidRDefault="005D09CC">
      <w:pPr>
        <w:pStyle w:val="normal0"/>
        <w:numPr>
          <w:ilvl w:val="0"/>
          <w:numId w:val="1"/>
        </w:numPr>
        <w:spacing w:line="240" w:lineRule="auto"/>
        <w:ind w:left="284" w:firstLine="360"/>
        <w:contextualSpacing/>
        <w:rPr>
          <w:rFonts w:ascii="Tahoma" w:hAnsi="Tahoma" w:cs="Tahoma"/>
          <w:sz w:val="18"/>
          <w:szCs w:val="18"/>
        </w:rPr>
      </w:pPr>
      <w:r>
        <w:rPr>
          <w:rFonts w:ascii="Tahoma" w:hAnsi="Tahoma" w:cs="Tahoma"/>
          <w:sz w:val="18"/>
          <w:szCs w:val="18"/>
        </w:rPr>
        <w:t>Stanovení specializací dle přílohy č. 1 se uplatňuje počínaje prvním dnem akademického roku 2017/2018. Specializace zmíněné v předchozí větě byly schváleny Vědeckou radou fakulty na zasedáních ve dnech 8. 10. 2014, 10. 12. 2014 a 11. 3. 2015.</w:t>
      </w:r>
    </w:p>
    <w:p w:rsidR="005D09CC" w:rsidRDefault="005D09CC">
      <w:pPr>
        <w:pStyle w:val="normal0"/>
        <w:numPr>
          <w:ilvl w:val="0"/>
          <w:numId w:val="1"/>
        </w:numPr>
        <w:spacing w:line="240" w:lineRule="auto"/>
        <w:ind w:left="284" w:firstLine="360"/>
        <w:contextualSpacing/>
        <w:rPr>
          <w:rFonts w:ascii="Tahoma" w:hAnsi="Tahoma" w:cs="Tahoma"/>
          <w:sz w:val="18"/>
          <w:szCs w:val="18"/>
        </w:rPr>
      </w:pPr>
      <w:r>
        <w:rPr>
          <w:rFonts w:ascii="Tahoma" w:hAnsi="Tahoma" w:cs="Tahoma"/>
          <w:sz w:val="18"/>
          <w:szCs w:val="18"/>
        </w:rPr>
        <w:t>Studijním programem se v případě a po dobu trvání akreditací studijních programů, které se člení na studijní obory, rozumí příslušný studijní obor.</w:t>
      </w:r>
    </w:p>
    <w:p w:rsidR="005D09CC" w:rsidRDefault="005D09CC">
      <w:pPr>
        <w:pStyle w:val="normal0"/>
        <w:spacing w:line="240" w:lineRule="auto"/>
        <w:ind w:left="644"/>
        <w:rPr>
          <w:rFonts w:ascii="Tahoma" w:hAnsi="Tahoma" w:cs="Tahoma"/>
          <w:sz w:val="18"/>
          <w:szCs w:val="18"/>
        </w:rPr>
      </w:pPr>
    </w:p>
    <w:p w:rsidR="005D09CC" w:rsidRDefault="005D09CC">
      <w:pPr>
        <w:pStyle w:val="normal0"/>
        <w:spacing w:line="240" w:lineRule="auto"/>
        <w:jc w:val="both"/>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p>
    <w:p w:rsidR="005D09CC" w:rsidRDefault="005D09CC">
      <w:pPr>
        <w:pStyle w:val="normal0"/>
        <w:spacing w:after="75" w:line="240" w:lineRule="auto"/>
        <w:jc w:val="center"/>
        <w:rPr>
          <w:rFonts w:ascii="Tahoma" w:hAnsi="Tahoma" w:cs="Tahoma"/>
          <w:sz w:val="18"/>
          <w:szCs w:val="18"/>
        </w:rPr>
      </w:pPr>
    </w:p>
    <w:p w:rsidR="005D09CC" w:rsidRDefault="005D09CC">
      <w:pPr>
        <w:pStyle w:val="normal0"/>
        <w:spacing w:after="75" w:line="240" w:lineRule="auto"/>
        <w:jc w:val="center"/>
        <w:rPr>
          <w:rFonts w:ascii="Tahoma" w:hAnsi="Tahoma" w:cs="Tahoma"/>
          <w:b/>
          <w:sz w:val="18"/>
          <w:szCs w:val="18"/>
        </w:rPr>
      </w:pP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Čl. 21</w:t>
      </w:r>
    </w:p>
    <w:p w:rsidR="005D09CC" w:rsidRDefault="005D09CC">
      <w:pPr>
        <w:pStyle w:val="normal0"/>
        <w:spacing w:after="75" w:line="240" w:lineRule="auto"/>
        <w:jc w:val="center"/>
        <w:rPr>
          <w:rFonts w:ascii="Tahoma" w:hAnsi="Tahoma" w:cs="Tahoma"/>
          <w:sz w:val="18"/>
          <w:szCs w:val="18"/>
        </w:rPr>
      </w:pPr>
      <w:r>
        <w:rPr>
          <w:rFonts w:ascii="Tahoma" w:hAnsi="Tahoma" w:cs="Tahoma"/>
          <w:b/>
          <w:sz w:val="18"/>
          <w:szCs w:val="18"/>
        </w:rPr>
        <w:t>Závěrečná ustanovení</w:t>
      </w:r>
    </w:p>
    <w:p w:rsidR="005D09CC" w:rsidRDefault="005D09CC">
      <w:pPr>
        <w:pStyle w:val="normal0"/>
        <w:spacing w:after="240" w:line="240" w:lineRule="auto"/>
        <w:jc w:val="both"/>
        <w:rPr>
          <w:rFonts w:ascii="Tahoma" w:hAnsi="Tahoma" w:cs="Tahoma"/>
          <w:sz w:val="18"/>
          <w:szCs w:val="18"/>
        </w:rPr>
      </w:pPr>
    </w:p>
    <w:p w:rsidR="005D09CC" w:rsidRDefault="005D09CC">
      <w:pPr>
        <w:pStyle w:val="normal0"/>
        <w:numPr>
          <w:ilvl w:val="0"/>
          <w:numId w:val="11"/>
        </w:numPr>
        <w:spacing w:line="240" w:lineRule="auto"/>
        <w:ind w:hanging="360"/>
        <w:contextualSpacing/>
        <w:rPr>
          <w:rFonts w:ascii="Tahoma" w:hAnsi="Tahoma" w:cs="Tahoma"/>
          <w:sz w:val="18"/>
          <w:szCs w:val="18"/>
        </w:rPr>
      </w:pPr>
      <w:r>
        <w:rPr>
          <w:rFonts w:ascii="Tahoma" w:hAnsi="Tahoma" w:cs="Tahoma"/>
          <w:sz w:val="18"/>
          <w:szCs w:val="18"/>
        </w:rPr>
        <w:t xml:space="preserve">Zrušují se Pravidla pro organizaci studia na Fakultě sociálních věd Univerzity Karlovy v Praze schválená Akademickým senátem Univerzity Karlovy dne 25. 3. 2011, ve znění pozdějších změn </w:t>
      </w:r>
    </w:p>
    <w:p w:rsidR="005D09CC" w:rsidRDefault="005D09CC">
      <w:pPr>
        <w:pStyle w:val="normal0"/>
        <w:numPr>
          <w:ilvl w:val="0"/>
          <w:numId w:val="11"/>
        </w:numPr>
        <w:spacing w:line="240" w:lineRule="auto"/>
        <w:ind w:hanging="360"/>
        <w:contextualSpacing/>
        <w:rPr>
          <w:rFonts w:ascii="Tahoma" w:hAnsi="Tahoma" w:cs="Tahoma"/>
          <w:sz w:val="18"/>
          <w:szCs w:val="18"/>
        </w:rPr>
      </w:pPr>
      <w:r>
        <w:rPr>
          <w:rFonts w:ascii="Tahoma" w:hAnsi="Tahoma" w:cs="Tahoma"/>
          <w:sz w:val="18"/>
          <w:szCs w:val="18"/>
        </w:rPr>
        <w:t>Tento předpis byl schválen akademickým senátem fakulty dne ………………….</w:t>
      </w:r>
    </w:p>
    <w:p w:rsidR="005D09CC" w:rsidRDefault="005D09CC">
      <w:pPr>
        <w:pStyle w:val="normal0"/>
        <w:numPr>
          <w:ilvl w:val="0"/>
          <w:numId w:val="11"/>
        </w:numPr>
        <w:spacing w:line="240" w:lineRule="auto"/>
        <w:ind w:hanging="360"/>
        <w:contextualSpacing/>
        <w:rPr>
          <w:rFonts w:ascii="Tahoma" w:hAnsi="Tahoma" w:cs="Tahoma"/>
          <w:sz w:val="18"/>
          <w:szCs w:val="18"/>
        </w:rPr>
      </w:pPr>
      <w:r>
        <w:rPr>
          <w:rFonts w:ascii="Tahoma" w:hAnsi="Tahoma" w:cs="Tahoma"/>
          <w:sz w:val="18"/>
          <w:szCs w:val="18"/>
        </w:rPr>
        <w:t>Tento předpis nabývá platnosti dnem schválení akademickým senátem univerzity 1).</w:t>
      </w:r>
    </w:p>
    <w:p w:rsidR="005D09CC" w:rsidRDefault="005D09CC">
      <w:pPr>
        <w:pStyle w:val="normal0"/>
        <w:numPr>
          <w:ilvl w:val="0"/>
          <w:numId w:val="11"/>
        </w:numPr>
        <w:spacing w:line="240" w:lineRule="auto"/>
        <w:ind w:hanging="360"/>
        <w:contextualSpacing/>
        <w:rPr>
          <w:rFonts w:ascii="Tahoma" w:hAnsi="Tahoma" w:cs="Tahoma"/>
          <w:sz w:val="18"/>
          <w:szCs w:val="18"/>
        </w:rPr>
      </w:pPr>
      <w:r>
        <w:rPr>
          <w:rFonts w:ascii="Tahoma" w:hAnsi="Tahoma" w:cs="Tahoma"/>
          <w:sz w:val="18"/>
          <w:szCs w:val="18"/>
        </w:rPr>
        <w:t>Tento předpis nabývá účinnosti prvním dnem akademického roku 2017/2018.</w:t>
      </w:r>
    </w:p>
    <w:p w:rsidR="005D09CC" w:rsidRDefault="005D09CC">
      <w:pPr>
        <w:pStyle w:val="normal0"/>
        <w:spacing w:line="240" w:lineRule="auto"/>
        <w:jc w:val="both"/>
        <w:rPr>
          <w:rFonts w:ascii="Tahoma" w:hAnsi="Tahoma" w:cs="Tahoma"/>
          <w:sz w:val="18"/>
          <w:szCs w:val="18"/>
        </w:rPr>
      </w:pPr>
    </w:p>
    <w:p w:rsidR="005D09CC" w:rsidRDefault="005D09CC">
      <w:pPr>
        <w:pStyle w:val="normal0"/>
        <w:spacing w:line="240" w:lineRule="auto"/>
        <w:ind w:left="360"/>
        <w:rPr>
          <w:rFonts w:ascii="Verdana" w:hAnsi="Verdana" w:cs="Verdana"/>
          <w:color w:val="535353"/>
          <w:sz w:val="18"/>
          <w:szCs w:val="18"/>
        </w:rPr>
      </w:pPr>
    </w:p>
    <w:p w:rsidR="005D09CC" w:rsidRDefault="005D09CC">
      <w:pPr>
        <w:pStyle w:val="normal0"/>
        <w:spacing w:after="240" w:line="240" w:lineRule="auto"/>
        <w:rPr>
          <w:rFonts w:ascii="Times New Roman" w:hAnsi="Times New Roman" w:cs="Times New Roman"/>
          <w:sz w:val="24"/>
          <w:szCs w:val="24"/>
        </w:rPr>
      </w:pPr>
    </w:p>
    <w:tbl>
      <w:tblPr>
        <w:tblW w:w="9162" w:type="dxa"/>
        <w:tblInd w:w="-90" w:type="dxa"/>
        <w:tblLayout w:type="fixed"/>
        <w:tblCellMar>
          <w:left w:w="115" w:type="dxa"/>
          <w:right w:w="115" w:type="dxa"/>
        </w:tblCellMar>
        <w:tblLook w:val="0000"/>
      </w:tblPr>
      <w:tblGrid>
        <w:gridCol w:w="4834"/>
        <w:gridCol w:w="4328"/>
      </w:tblGrid>
      <w:tr w:rsidR="005D09CC" w:rsidTr="005D1100">
        <w:tc>
          <w:tcPr>
            <w:tcW w:w="4834"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rPr>
                <w:rFonts w:ascii="Tahoma" w:hAnsi="Tahoma" w:cs="Tahoma"/>
                <w:sz w:val="18"/>
                <w:szCs w:val="18"/>
              </w:rPr>
            </w:pPr>
            <w:r w:rsidRPr="005D1100">
              <w:rPr>
                <w:rFonts w:ascii="Tahoma" w:hAnsi="Tahoma" w:cs="Tahoma"/>
                <w:sz w:val="18"/>
                <w:szCs w:val="18"/>
              </w:rPr>
              <w:t>...................................................</w:t>
            </w:r>
          </w:p>
        </w:tc>
        <w:tc>
          <w:tcPr>
            <w:tcW w:w="4328"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jc w:val="center"/>
              <w:rPr>
                <w:rFonts w:ascii="Tahoma" w:hAnsi="Tahoma" w:cs="Tahoma"/>
                <w:sz w:val="18"/>
                <w:szCs w:val="18"/>
              </w:rPr>
            </w:pPr>
            <w:r w:rsidRPr="005D1100">
              <w:rPr>
                <w:rFonts w:ascii="Tahoma" w:hAnsi="Tahoma" w:cs="Tahoma"/>
                <w:sz w:val="18"/>
                <w:szCs w:val="18"/>
              </w:rPr>
              <w:t>.............................................</w:t>
            </w:r>
          </w:p>
        </w:tc>
      </w:tr>
      <w:tr w:rsidR="005D09CC" w:rsidTr="005D1100">
        <w:tc>
          <w:tcPr>
            <w:tcW w:w="4834" w:type="dxa"/>
            <w:shd w:val="clear" w:color="auto" w:fill="FFFFFF"/>
            <w:tcMar>
              <w:top w:w="45" w:type="dxa"/>
              <w:left w:w="45" w:type="dxa"/>
              <w:bottom w:w="45" w:type="dxa"/>
              <w:right w:w="45" w:type="dxa"/>
            </w:tcMa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PhDr. David Emler, Ph.D.</w:t>
            </w:r>
          </w:p>
          <w:p w:rsidR="005D09CC" w:rsidRPr="005D1100" w:rsidRDefault="005D09CC" w:rsidP="005D1100">
            <w:pPr>
              <w:pStyle w:val="normal0"/>
              <w:spacing w:before="100" w:after="100" w:line="240" w:lineRule="auto"/>
              <w:rPr>
                <w:rFonts w:ascii="Tahoma" w:hAnsi="Tahoma" w:cs="Tahoma"/>
                <w:sz w:val="18"/>
                <w:szCs w:val="18"/>
              </w:rPr>
            </w:pPr>
            <w:r w:rsidRPr="005D1100">
              <w:rPr>
                <w:rFonts w:ascii="Tahoma" w:hAnsi="Tahoma" w:cs="Tahoma"/>
                <w:sz w:val="18"/>
                <w:szCs w:val="18"/>
              </w:rPr>
              <w:t>předseda Akademického senátu UK FSV</w:t>
            </w:r>
          </w:p>
        </w:tc>
        <w:tc>
          <w:tcPr>
            <w:tcW w:w="4328"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jc w:val="center"/>
              <w:rPr>
                <w:rFonts w:ascii="Tahoma" w:hAnsi="Tahoma" w:cs="Tahoma"/>
                <w:sz w:val="18"/>
                <w:szCs w:val="18"/>
              </w:rPr>
            </w:pPr>
            <w:r w:rsidRPr="005D1100">
              <w:rPr>
                <w:rFonts w:ascii="Tahoma" w:hAnsi="Tahoma" w:cs="Tahoma"/>
                <w:sz w:val="18"/>
                <w:szCs w:val="18"/>
              </w:rPr>
              <w:t>PhDr. Jakub Končelík, PhD.</w:t>
            </w:r>
          </w:p>
          <w:p w:rsidR="005D09CC" w:rsidRPr="005D1100" w:rsidRDefault="005D09CC" w:rsidP="005D1100">
            <w:pPr>
              <w:pStyle w:val="normal0"/>
              <w:spacing w:before="100" w:after="100" w:line="240" w:lineRule="auto"/>
              <w:jc w:val="center"/>
              <w:rPr>
                <w:rFonts w:ascii="Tahoma" w:hAnsi="Tahoma" w:cs="Tahoma"/>
                <w:sz w:val="18"/>
                <w:szCs w:val="18"/>
              </w:rPr>
            </w:pPr>
            <w:r w:rsidRPr="005D1100">
              <w:rPr>
                <w:rFonts w:ascii="Tahoma" w:hAnsi="Tahoma" w:cs="Tahoma"/>
                <w:sz w:val="18"/>
                <w:szCs w:val="18"/>
              </w:rPr>
              <w:t>Děkan</w:t>
            </w:r>
          </w:p>
        </w:tc>
      </w:tr>
    </w:tbl>
    <w:p w:rsidR="005D09CC" w:rsidRDefault="005D09CC">
      <w:pPr>
        <w:pStyle w:val="normal0"/>
        <w:spacing w:line="240" w:lineRule="auto"/>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spacing w:after="240" w:line="240" w:lineRule="auto"/>
        <w:rPr>
          <w:rFonts w:ascii="Tahoma" w:hAnsi="Tahoma" w:cs="Tahoma"/>
          <w:sz w:val="18"/>
          <w:szCs w:val="18"/>
        </w:rPr>
      </w:pPr>
    </w:p>
    <w:tbl>
      <w:tblPr>
        <w:tblW w:w="9162" w:type="dxa"/>
        <w:tblInd w:w="-90" w:type="dxa"/>
        <w:tblLayout w:type="fixed"/>
        <w:tblCellMar>
          <w:left w:w="115" w:type="dxa"/>
          <w:right w:w="115" w:type="dxa"/>
        </w:tblCellMar>
        <w:tblLook w:val="0000"/>
      </w:tblPr>
      <w:tblGrid>
        <w:gridCol w:w="5528"/>
        <w:gridCol w:w="3634"/>
      </w:tblGrid>
      <w:tr w:rsidR="005D09CC" w:rsidTr="005D1100">
        <w:tc>
          <w:tcPr>
            <w:tcW w:w="5528"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jc w:val="center"/>
              <w:rPr>
                <w:rFonts w:ascii="Tahoma" w:hAnsi="Tahoma" w:cs="Tahoma"/>
                <w:sz w:val="18"/>
                <w:szCs w:val="18"/>
              </w:rPr>
            </w:pPr>
            <w:r w:rsidRPr="005D1100">
              <w:rPr>
                <w:rFonts w:ascii="Tahoma" w:hAnsi="Tahoma" w:cs="Tahoma"/>
                <w:sz w:val="18"/>
                <w:szCs w:val="18"/>
              </w:rPr>
              <w:t>...................................................</w:t>
            </w:r>
          </w:p>
        </w:tc>
        <w:tc>
          <w:tcPr>
            <w:tcW w:w="3634"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jc w:val="center"/>
              <w:rPr>
                <w:rFonts w:ascii="Tahoma" w:hAnsi="Tahoma" w:cs="Tahoma"/>
                <w:sz w:val="18"/>
                <w:szCs w:val="18"/>
              </w:rPr>
            </w:pPr>
          </w:p>
        </w:tc>
      </w:tr>
      <w:tr w:rsidR="005D09CC" w:rsidTr="005D1100">
        <w:tc>
          <w:tcPr>
            <w:tcW w:w="5528" w:type="dxa"/>
            <w:shd w:val="clear" w:color="auto" w:fill="FFFFFF"/>
            <w:tcMar>
              <w:top w:w="45" w:type="dxa"/>
              <w:left w:w="45" w:type="dxa"/>
              <w:bottom w:w="45" w:type="dxa"/>
              <w:right w:w="45" w:type="dxa"/>
            </w:tcMar>
          </w:tcPr>
          <w:p w:rsidR="005D09CC" w:rsidRPr="005D1100" w:rsidRDefault="005D09CC" w:rsidP="005D1100">
            <w:pPr>
              <w:pStyle w:val="normal0"/>
              <w:spacing w:line="240" w:lineRule="auto"/>
              <w:jc w:val="center"/>
              <w:rPr>
                <w:rFonts w:ascii="Tahoma" w:hAnsi="Tahoma" w:cs="Tahoma"/>
                <w:sz w:val="18"/>
                <w:szCs w:val="18"/>
              </w:rPr>
            </w:pPr>
            <w:r w:rsidRPr="005D1100">
              <w:rPr>
                <w:rFonts w:ascii="Tahoma" w:hAnsi="Tahoma" w:cs="Tahoma"/>
                <w:sz w:val="18"/>
                <w:szCs w:val="18"/>
              </w:rPr>
              <w:t>PhDr. Tomáš Nigrin, Ph.D.</w:t>
            </w:r>
          </w:p>
          <w:p w:rsidR="005D09CC" w:rsidRPr="005D1100" w:rsidRDefault="005D09CC" w:rsidP="005D1100">
            <w:pPr>
              <w:pStyle w:val="normal0"/>
              <w:spacing w:before="100" w:after="100" w:line="240" w:lineRule="auto"/>
              <w:jc w:val="center"/>
              <w:rPr>
                <w:rFonts w:ascii="Tahoma" w:hAnsi="Tahoma" w:cs="Tahoma"/>
                <w:sz w:val="18"/>
                <w:szCs w:val="18"/>
              </w:rPr>
            </w:pPr>
            <w:r w:rsidRPr="005D1100">
              <w:rPr>
                <w:rFonts w:ascii="Tahoma" w:hAnsi="Tahoma" w:cs="Tahoma"/>
                <w:sz w:val="18"/>
                <w:szCs w:val="18"/>
              </w:rPr>
              <w:t>předseda Akademického senátu UK</w:t>
            </w:r>
          </w:p>
        </w:tc>
        <w:tc>
          <w:tcPr>
            <w:tcW w:w="3634" w:type="dxa"/>
            <w:shd w:val="clear" w:color="auto" w:fill="FFFFFF"/>
            <w:tcMar>
              <w:top w:w="45" w:type="dxa"/>
              <w:left w:w="45" w:type="dxa"/>
              <w:bottom w:w="45" w:type="dxa"/>
              <w:right w:w="45" w:type="dxa"/>
            </w:tcMar>
          </w:tcPr>
          <w:p w:rsidR="005D09CC" w:rsidRPr="005D1100" w:rsidRDefault="005D09CC" w:rsidP="005D1100">
            <w:pPr>
              <w:pStyle w:val="normal0"/>
              <w:spacing w:before="100" w:after="100" w:line="240" w:lineRule="auto"/>
              <w:jc w:val="center"/>
              <w:rPr>
                <w:rFonts w:ascii="Tahoma" w:hAnsi="Tahoma" w:cs="Tahoma"/>
                <w:sz w:val="18"/>
                <w:szCs w:val="18"/>
              </w:rPr>
            </w:pPr>
          </w:p>
        </w:tc>
      </w:tr>
    </w:tbl>
    <w:p w:rsidR="005D09CC" w:rsidRDefault="005D09CC">
      <w:pPr>
        <w:pStyle w:val="normal0"/>
        <w:spacing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p>
    <w:p w:rsidR="005D09CC" w:rsidRDefault="005D09CC">
      <w:pPr>
        <w:pStyle w:val="normal0"/>
        <w:spacing w:after="75" w:line="240" w:lineRule="auto"/>
        <w:rPr>
          <w:rFonts w:ascii="Tahoma" w:hAnsi="Tahoma" w:cs="Tahoma"/>
          <w:sz w:val="18"/>
          <w:szCs w:val="18"/>
        </w:rPr>
      </w:pPr>
      <w:r>
        <w:rPr>
          <w:rFonts w:ascii="Tahoma" w:hAnsi="Tahoma" w:cs="Tahoma"/>
          <w:sz w:val="18"/>
          <w:szCs w:val="18"/>
        </w:rPr>
        <w:t> 1)  § 9 odst. 1 písm. b) zákona o vysokých školách. Akademický senát univerzity schválil tento předpis dne …………..</w:t>
      </w:r>
    </w:p>
    <w:p w:rsidR="005D09CC" w:rsidRDefault="005D09CC">
      <w:pPr>
        <w:pStyle w:val="normal0"/>
        <w:spacing w:before="100" w:after="100" w:line="240" w:lineRule="auto"/>
        <w:rPr>
          <w:rFonts w:ascii="Tahoma" w:hAnsi="Tahoma" w:cs="Tahoma"/>
          <w:sz w:val="18"/>
          <w:szCs w:val="18"/>
        </w:rPr>
      </w:pPr>
    </w:p>
    <w:p w:rsidR="005D09CC" w:rsidRDefault="005D09CC">
      <w:pPr>
        <w:pStyle w:val="normal0"/>
      </w:pPr>
      <w:r>
        <w:br w:type="page"/>
      </w:r>
    </w:p>
    <w:p w:rsidR="005D09CC" w:rsidRDefault="005D09CC">
      <w:pPr>
        <w:pStyle w:val="normal0"/>
      </w:pPr>
    </w:p>
    <w:p w:rsidR="005D09CC" w:rsidRDefault="005D09CC">
      <w:pPr>
        <w:pStyle w:val="normal0"/>
        <w:spacing w:line="240" w:lineRule="auto"/>
        <w:rPr>
          <w:rFonts w:ascii="Tahoma" w:hAnsi="Tahoma" w:cs="Tahoma"/>
          <w:sz w:val="18"/>
          <w:szCs w:val="18"/>
        </w:rPr>
      </w:pPr>
      <w:r>
        <w:rPr>
          <w:rFonts w:ascii="Tahoma" w:hAnsi="Tahoma" w:cs="Tahoma"/>
          <w:b/>
          <w:sz w:val="18"/>
          <w:szCs w:val="18"/>
        </w:rPr>
        <w:t xml:space="preserve">Příloha č. 1 Specializace v rámci studijních programů </w:t>
      </w:r>
    </w:p>
    <w:tbl>
      <w:tblPr>
        <w:tblW w:w="696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321"/>
        <w:gridCol w:w="2322"/>
        <w:gridCol w:w="2322"/>
      </w:tblGrid>
      <w:tr w:rsidR="005D09CC" w:rsidTr="005D1100">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b/>
                <w:sz w:val="18"/>
                <w:szCs w:val="18"/>
              </w:rPr>
              <w:t>Druh studia</w:t>
            </w: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b/>
                <w:sz w:val="18"/>
                <w:szCs w:val="18"/>
              </w:rPr>
              <w:t>Studijní program</w:t>
            </w: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b/>
                <w:sz w:val="18"/>
                <w:szCs w:val="18"/>
              </w:rPr>
              <w:t>Specializace</w:t>
            </w:r>
          </w:p>
        </w:tc>
      </w:tr>
      <w:tr w:rsidR="005D09CC" w:rsidTr="005D1100">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Navazující magisterské</w:t>
            </w:r>
          </w:p>
          <w:p w:rsidR="005D09CC" w:rsidRPr="005D1100" w:rsidRDefault="005D09CC" w:rsidP="005D1100">
            <w:pPr>
              <w:pStyle w:val="normal0"/>
              <w:spacing w:line="240" w:lineRule="auto"/>
              <w:rPr>
                <w:rFonts w:ascii="Tahoma" w:hAnsi="Tahoma" w:cs="Tahoma"/>
                <w:sz w:val="18"/>
                <w:szCs w:val="18"/>
              </w:rPr>
            </w:pPr>
          </w:p>
        </w:tc>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Teritoriální studia</w:t>
            </w:r>
          </w:p>
        </w:tc>
        <w:tc>
          <w:tcPr>
            <w:tcW w:w="2322" w:type="dxa"/>
          </w:tcPr>
          <w:p w:rsidR="005D09CC" w:rsidRPr="005D1100" w:rsidRDefault="005D09CC" w:rsidP="005D1100">
            <w:pPr>
              <w:pStyle w:val="normal0"/>
              <w:spacing w:line="240" w:lineRule="auto"/>
              <w:rPr>
                <w:rFonts w:ascii="Tahoma" w:hAnsi="Tahoma" w:cs="Tahoma"/>
                <w:sz w:val="18"/>
                <w:szCs w:val="18"/>
              </w:rPr>
            </w:pPr>
            <w:r>
              <w:rPr>
                <w:rFonts w:ascii="Tahoma" w:hAnsi="Tahoma" w:cs="Tahoma"/>
                <w:sz w:val="18"/>
                <w:szCs w:val="18"/>
              </w:rPr>
              <w:t>Severoa</w:t>
            </w:r>
            <w:r w:rsidRPr="005D1100">
              <w:rPr>
                <w:rFonts w:ascii="Tahoma" w:hAnsi="Tahoma" w:cs="Tahoma"/>
                <w:sz w:val="18"/>
                <w:szCs w:val="18"/>
              </w:rPr>
              <w:t>merická studia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Balkánská a středoevropská studia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Evropská studia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Německá a rakouská studia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Ruská a eurasijská studia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Západoevropská studia</w:t>
            </w:r>
          </w:p>
        </w:tc>
      </w:tr>
      <w:tr w:rsidR="005D09CC" w:rsidTr="005D1100">
        <w:tc>
          <w:tcPr>
            <w:tcW w:w="2322" w:type="dxa"/>
            <w:vMerge/>
            <w:vAlign w:val="center"/>
          </w:tcPr>
          <w:p w:rsidR="005D09CC" w:rsidRPr="005D1100" w:rsidRDefault="005D09CC" w:rsidP="005D1100">
            <w:pPr>
              <w:pStyle w:val="normal0"/>
              <w:spacing w:line="240" w:lineRule="auto"/>
              <w:rPr>
                <w:rFonts w:ascii="Tahoma" w:hAnsi="Tahoma" w:cs="Tahoma"/>
                <w:sz w:val="18"/>
                <w:szCs w:val="18"/>
              </w:rPr>
            </w:pPr>
          </w:p>
        </w:tc>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Sociologie</w:t>
            </w: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Aplikovaný sociologický výzkum a jeho metodologie</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Sociologie, veřejnost a politika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Sociální antropologie a kvalitativní výzkum</w:t>
            </w:r>
          </w:p>
        </w:tc>
      </w:tr>
      <w:tr w:rsidR="005D09CC" w:rsidTr="005D1100">
        <w:tc>
          <w:tcPr>
            <w:tcW w:w="2322" w:type="dxa"/>
            <w:vMerge/>
            <w:vAlign w:val="center"/>
          </w:tcPr>
          <w:p w:rsidR="005D09CC" w:rsidRPr="005D1100" w:rsidRDefault="005D09CC" w:rsidP="005D1100">
            <w:pPr>
              <w:pStyle w:val="normal0"/>
              <w:spacing w:line="240" w:lineRule="auto"/>
              <w:rPr>
                <w:rFonts w:ascii="Tahoma" w:hAnsi="Tahoma" w:cs="Tahoma"/>
                <w:sz w:val="18"/>
                <w:szCs w:val="18"/>
              </w:rPr>
            </w:pPr>
          </w:p>
        </w:tc>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Ekonomie</w:t>
            </w: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Ekonomické teorie a modelování</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 xml:space="preserve">Finance, finanční trhy a bankovnictví </w:t>
            </w:r>
          </w:p>
        </w:tc>
      </w:tr>
      <w:tr w:rsidR="005D09CC" w:rsidTr="005D1100">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Bakalářské</w:t>
            </w:r>
          </w:p>
        </w:tc>
        <w:tc>
          <w:tcPr>
            <w:tcW w:w="2322" w:type="dxa"/>
            <w:vMerge w:val="restart"/>
            <w:vAlign w:val="center"/>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 xml:space="preserve">Mediální a komunikační studia </w:t>
            </w: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Obrazová a psaná žurnalistika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Audiovizuální žurnalistika</w:t>
            </w:r>
          </w:p>
        </w:tc>
      </w:tr>
      <w:tr w:rsidR="005D09CC" w:rsidTr="005D1100">
        <w:tc>
          <w:tcPr>
            <w:tcW w:w="2322" w:type="dxa"/>
            <w:vMerge/>
            <w:vAlign w:val="center"/>
          </w:tcPr>
          <w:p w:rsidR="005D09CC" w:rsidRPr="005D1100" w:rsidRDefault="005D09CC">
            <w:pPr>
              <w:pStyle w:val="normal0"/>
              <w:rPr>
                <w:rFonts w:ascii="Tahoma" w:hAnsi="Tahoma" w:cs="Tahoma"/>
                <w:sz w:val="18"/>
                <w:szCs w:val="18"/>
              </w:rPr>
            </w:pPr>
          </w:p>
        </w:tc>
        <w:tc>
          <w:tcPr>
            <w:tcW w:w="2322" w:type="dxa"/>
            <w:vMerge/>
            <w:vAlign w:val="center"/>
          </w:tcPr>
          <w:p w:rsidR="005D09CC" w:rsidRPr="005D1100" w:rsidRDefault="005D09CC">
            <w:pPr>
              <w:pStyle w:val="normal0"/>
              <w:rPr>
                <w:rFonts w:ascii="Tahoma" w:hAnsi="Tahoma" w:cs="Tahoma"/>
                <w:sz w:val="18"/>
                <w:szCs w:val="18"/>
              </w:rPr>
            </w:pPr>
          </w:p>
          <w:p w:rsidR="005D09CC" w:rsidRPr="005D1100" w:rsidRDefault="005D09CC">
            <w:pPr>
              <w:pStyle w:val="normal0"/>
              <w:rPr>
                <w:rFonts w:ascii="Tahoma" w:hAnsi="Tahoma" w:cs="Tahoma"/>
                <w:sz w:val="18"/>
                <w:szCs w:val="18"/>
              </w:rPr>
            </w:pPr>
          </w:p>
        </w:tc>
        <w:tc>
          <w:tcPr>
            <w:tcW w:w="2322" w:type="dxa"/>
          </w:tcPr>
          <w:p w:rsidR="005D09CC" w:rsidRPr="005D1100" w:rsidRDefault="005D09CC" w:rsidP="005D1100">
            <w:pPr>
              <w:pStyle w:val="normal0"/>
              <w:spacing w:line="240" w:lineRule="auto"/>
              <w:rPr>
                <w:rFonts w:ascii="Tahoma" w:hAnsi="Tahoma" w:cs="Tahoma"/>
                <w:sz w:val="18"/>
                <w:szCs w:val="18"/>
              </w:rPr>
            </w:pPr>
            <w:r w:rsidRPr="005D1100">
              <w:rPr>
                <w:rFonts w:ascii="Tahoma" w:hAnsi="Tahoma" w:cs="Tahoma"/>
                <w:sz w:val="18"/>
                <w:szCs w:val="18"/>
              </w:rPr>
              <w:t>Televize</w:t>
            </w:r>
          </w:p>
        </w:tc>
      </w:tr>
    </w:tbl>
    <w:p w:rsidR="005D09CC" w:rsidRDefault="005D09CC">
      <w:pPr>
        <w:pStyle w:val="normal0"/>
        <w:spacing w:line="240" w:lineRule="auto"/>
        <w:rPr>
          <w:rFonts w:ascii="Tahoma" w:hAnsi="Tahoma" w:cs="Tahoma"/>
          <w:sz w:val="18"/>
          <w:szCs w:val="18"/>
        </w:rPr>
      </w:pPr>
    </w:p>
    <w:p w:rsidR="005D09CC" w:rsidRDefault="005D09CC">
      <w:pPr>
        <w:pStyle w:val="normal0"/>
        <w:spacing w:line="240" w:lineRule="auto"/>
        <w:rPr>
          <w:rFonts w:ascii="Tahoma" w:hAnsi="Tahoma" w:cs="Tahoma"/>
          <w:sz w:val="18"/>
          <w:szCs w:val="18"/>
        </w:rPr>
      </w:pPr>
    </w:p>
    <w:p w:rsidR="005D09CC" w:rsidRDefault="005D09CC">
      <w:pPr>
        <w:pStyle w:val="normal0"/>
      </w:pPr>
      <w:bookmarkStart w:id="0" w:name="_gjdgxs" w:colFirst="0" w:colLast="0"/>
      <w:bookmarkEnd w:id="0"/>
    </w:p>
    <w:sectPr w:rsidR="005D09CC" w:rsidSect="00657BA2">
      <w:pgSz w:w="11909" w:h="16834"/>
      <w:pgMar w:top="1440" w:right="1440" w:bottom="1440" w:left="1440"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945"/>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1">
    <w:nsid w:val="0E0C1D08"/>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2">
    <w:nsid w:val="0F01473D"/>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3">
    <w:nsid w:val="187B6C7F"/>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4">
    <w:nsid w:val="22181E33"/>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5">
    <w:nsid w:val="2BF20D96"/>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abstractNum w:abstractNumId="6">
    <w:nsid w:val="2D887EE7"/>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7">
    <w:nsid w:val="2FE825F0"/>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8">
    <w:nsid w:val="371C5B13"/>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9">
    <w:nsid w:val="41AA5D75"/>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lowerRoman"/>
      <w:lvlText w:val="%3."/>
      <w:lvlJc w:val="right"/>
      <w:pPr>
        <w:ind w:left="2160" w:firstLine="414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lowerLetter"/>
      <w:lvlText w:val="%5."/>
      <w:lvlJc w:val="left"/>
      <w:pPr>
        <w:ind w:left="3600" w:firstLine="6840"/>
      </w:pPr>
      <w:rPr>
        <w:rFonts w:cs="Times New Roman"/>
        <w:vertAlign w:val="baseline"/>
      </w:rPr>
    </w:lvl>
    <w:lvl w:ilvl="5">
      <w:start w:val="1"/>
      <w:numFmt w:val="lowerRoman"/>
      <w:lvlText w:val="%6."/>
      <w:lvlJc w:val="right"/>
      <w:pPr>
        <w:ind w:left="4320" w:firstLine="846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lowerLetter"/>
      <w:lvlText w:val="%8."/>
      <w:lvlJc w:val="left"/>
      <w:pPr>
        <w:ind w:left="5760" w:firstLine="11160"/>
      </w:pPr>
      <w:rPr>
        <w:rFonts w:cs="Times New Roman"/>
        <w:vertAlign w:val="baseline"/>
      </w:rPr>
    </w:lvl>
    <w:lvl w:ilvl="8">
      <w:start w:val="1"/>
      <w:numFmt w:val="lowerRoman"/>
      <w:lvlText w:val="%9."/>
      <w:lvlJc w:val="right"/>
      <w:pPr>
        <w:ind w:left="6480" w:firstLine="12780"/>
      </w:pPr>
      <w:rPr>
        <w:rFonts w:cs="Times New Roman"/>
        <w:vertAlign w:val="baseline"/>
      </w:rPr>
    </w:lvl>
  </w:abstractNum>
  <w:abstractNum w:abstractNumId="10">
    <w:nsid w:val="49D53632"/>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11">
    <w:nsid w:val="4CA22BB7"/>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12">
    <w:nsid w:val="4ED33437"/>
    <w:multiLevelType w:val="multilevel"/>
    <w:tmpl w:val="FFFFFFFF"/>
    <w:lvl w:ilvl="0">
      <w:start w:val="1"/>
      <w:numFmt w:val="decimal"/>
      <w:lvlText w:val="%1."/>
      <w:lvlJc w:val="left"/>
      <w:pPr>
        <w:ind w:left="720" w:firstLine="1080"/>
      </w:pPr>
      <w:rPr>
        <w:rFonts w:ascii="Tahoma" w:eastAsia="Times New Roman" w:hAnsi="Tahoma" w:cs="Tahoma"/>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13">
    <w:nsid w:val="52ED2297"/>
    <w:multiLevelType w:val="multilevel"/>
    <w:tmpl w:val="FFFFFFFF"/>
    <w:lvl w:ilvl="0">
      <w:start w:val="1"/>
      <w:numFmt w:val="decimal"/>
      <w:lvlText w:val="%1."/>
      <w:lvlJc w:val="left"/>
      <w:pPr>
        <w:ind w:left="720" w:firstLine="1080"/>
      </w:pPr>
      <w:rPr>
        <w:rFonts w:cs="Times New Roman"/>
        <w:vertAlign w:val="baseline"/>
      </w:rPr>
    </w:lvl>
    <w:lvl w:ilvl="1">
      <w:start w:val="1"/>
      <w:numFmt w:val="decimal"/>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abstractNum w:abstractNumId="14">
    <w:nsid w:val="68EC00DF"/>
    <w:multiLevelType w:val="multilevel"/>
    <w:tmpl w:val="FFFFFFFF"/>
    <w:lvl w:ilvl="0">
      <w:start w:val="1"/>
      <w:numFmt w:val="decimal"/>
      <w:lvlText w:val="%1."/>
      <w:lvlJc w:val="left"/>
      <w:pPr>
        <w:ind w:left="720" w:firstLine="1080"/>
      </w:pPr>
      <w:rPr>
        <w:rFonts w:cs="Times New Roman"/>
        <w:vertAlign w:val="baseline"/>
      </w:rPr>
    </w:lvl>
    <w:lvl w:ilvl="1">
      <w:start w:val="1"/>
      <w:numFmt w:val="lowerLetter"/>
      <w:lvlText w:val="%2."/>
      <w:lvlJc w:val="left"/>
      <w:pPr>
        <w:ind w:left="1440" w:firstLine="2520"/>
      </w:pPr>
      <w:rPr>
        <w:rFonts w:cs="Times New Roman"/>
        <w:vertAlign w:val="baseline"/>
      </w:rPr>
    </w:lvl>
    <w:lvl w:ilvl="2">
      <w:start w:val="1"/>
      <w:numFmt w:val="decimal"/>
      <w:lvlText w:val="%3."/>
      <w:lvlJc w:val="left"/>
      <w:pPr>
        <w:ind w:left="2160" w:firstLine="3960"/>
      </w:pPr>
      <w:rPr>
        <w:rFonts w:cs="Times New Roman"/>
        <w:vertAlign w:val="baseline"/>
      </w:rPr>
    </w:lvl>
    <w:lvl w:ilvl="3">
      <w:start w:val="1"/>
      <w:numFmt w:val="decimal"/>
      <w:lvlText w:val="%4."/>
      <w:lvlJc w:val="left"/>
      <w:pPr>
        <w:ind w:left="2880" w:firstLine="5400"/>
      </w:pPr>
      <w:rPr>
        <w:rFonts w:cs="Times New Roman"/>
        <w:vertAlign w:val="baseline"/>
      </w:rPr>
    </w:lvl>
    <w:lvl w:ilvl="4">
      <w:start w:val="1"/>
      <w:numFmt w:val="decimal"/>
      <w:lvlText w:val="%5."/>
      <w:lvlJc w:val="left"/>
      <w:pPr>
        <w:ind w:left="3600" w:firstLine="6840"/>
      </w:pPr>
      <w:rPr>
        <w:rFonts w:cs="Times New Roman"/>
        <w:vertAlign w:val="baseline"/>
      </w:rPr>
    </w:lvl>
    <w:lvl w:ilvl="5">
      <w:start w:val="1"/>
      <w:numFmt w:val="decimal"/>
      <w:lvlText w:val="%6."/>
      <w:lvlJc w:val="left"/>
      <w:pPr>
        <w:ind w:left="4320" w:firstLine="8280"/>
      </w:pPr>
      <w:rPr>
        <w:rFonts w:cs="Times New Roman"/>
        <w:vertAlign w:val="baseline"/>
      </w:rPr>
    </w:lvl>
    <w:lvl w:ilvl="6">
      <w:start w:val="1"/>
      <w:numFmt w:val="decimal"/>
      <w:lvlText w:val="%7."/>
      <w:lvlJc w:val="left"/>
      <w:pPr>
        <w:ind w:left="5040" w:firstLine="9720"/>
      </w:pPr>
      <w:rPr>
        <w:rFonts w:cs="Times New Roman"/>
        <w:vertAlign w:val="baseline"/>
      </w:rPr>
    </w:lvl>
    <w:lvl w:ilvl="7">
      <w:start w:val="1"/>
      <w:numFmt w:val="decimal"/>
      <w:lvlText w:val="%8."/>
      <w:lvlJc w:val="left"/>
      <w:pPr>
        <w:ind w:left="5760" w:firstLine="11160"/>
      </w:pPr>
      <w:rPr>
        <w:rFonts w:cs="Times New Roman"/>
        <w:vertAlign w:val="baseline"/>
      </w:rPr>
    </w:lvl>
    <w:lvl w:ilvl="8">
      <w:start w:val="1"/>
      <w:numFmt w:val="decimal"/>
      <w:lvlText w:val="%9."/>
      <w:lvlJc w:val="left"/>
      <w:pPr>
        <w:ind w:left="6480" w:firstLine="12600"/>
      </w:pPr>
      <w:rPr>
        <w:rFonts w:cs="Times New Roman"/>
        <w:vertAlign w:val="baseline"/>
      </w:rPr>
    </w:lvl>
  </w:abstractNum>
  <w:num w:numId="1">
    <w:abstractNumId w:val="6"/>
  </w:num>
  <w:num w:numId="2">
    <w:abstractNumId w:val="8"/>
  </w:num>
  <w:num w:numId="3">
    <w:abstractNumId w:val="9"/>
  </w:num>
  <w:num w:numId="4">
    <w:abstractNumId w:val="3"/>
  </w:num>
  <w:num w:numId="5">
    <w:abstractNumId w:val="2"/>
  </w:num>
  <w:num w:numId="6">
    <w:abstractNumId w:val="7"/>
  </w:num>
  <w:num w:numId="7">
    <w:abstractNumId w:val="5"/>
  </w:num>
  <w:num w:numId="8">
    <w:abstractNumId w:val="14"/>
  </w:num>
  <w:num w:numId="9">
    <w:abstractNumId w:val="1"/>
  </w:num>
  <w:num w:numId="10">
    <w:abstractNumId w:val="0"/>
  </w:num>
  <w:num w:numId="11">
    <w:abstractNumId w:val="10"/>
  </w:num>
  <w:num w:numId="12">
    <w:abstractNumId w:val="13"/>
  </w:num>
  <w:num w:numId="13">
    <w:abstractNumId w:val="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BA2"/>
    <w:rsid w:val="000011FB"/>
    <w:rsid w:val="00186383"/>
    <w:rsid w:val="005D09CC"/>
    <w:rsid w:val="005D1100"/>
    <w:rsid w:val="00657BA2"/>
    <w:rsid w:val="008D11F8"/>
    <w:rsid w:val="00AA2A8F"/>
    <w:rsid w:val="00DF30F1"/>
    <w:rsid w:val="00E765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F1"/>
    <w:pPr>
      <w:widowControl w:val="0"/>
      <w:spacing w:line="276" w:lineRule="auto"/>
    </w:pPr>
    <w:rPr>
      <w:color w:val="000000"/>
    </w:rPr>
  </w:style>
  <w:style w:type="paragraph" w:styleId="Heading1">
    <w:name w:val="heading 1"/>
    <w:basedOn w:val="normal0"/>
    <w:next w:val="normal0"/>
    <w:link w:val="Heading1Char"/>
    <w:uiPriority w:val="99"/>
    <w:qFormat/>
    <w:rsid w:val="00657BA2"/>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657BA2"/>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657BA2"/>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657BA2"/>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657BA2"/>
    <w:pPr>
      <w:keepNext/>
      <w:keepLines/>
      <w:spacing w:before="240" w:after="80"/>
      <w:outlineLvl w:val="4"/>
    </w:pPr>
    <w:rPr>
      <w:color w:val="666666"/>
    </w:rPr>
  </w:style>
  <w:style w:type="paragraph" w:styleId="Heading6">
    <w:name w:val="heading 6"/>
    <w:basedOn w:val="normal0"/>
    <w:next w:val="normal0"/>
    <w:link w:val="Heading6Char"/>
    <w:uiPriority w:val="99"/>
    <w:qFormat/>
    <w:rsid w:val="00657BA2"/>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657BA2"/>
    <w:pPr>
      <w:widowControl w:val="0"/>
      <w:spacing w:line="276" w:lineRule="auto"/>
    </w:pPr>
    <w:rPr>
      <w:color w:val="000000"/>
    </w:rPr>
  </w:style>
  <w:style w:type="paragraph" w:styleId="Title">
    <w:name w:val="Title"/>
    <w:basedOn w:val="normal0"/>
    <w:next w:val="normal0"/>
    <w:link w:val="TitleChar"/>
    <w:uiPriority w:val="99"/>
    <w:qFormat/>
    <w:rsid w:val="00657BA2"/>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657BA2"/>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table" w:customStyle="1" w:styleId="Styl">
    <w:name w:val="Styl"/>
    <w:uiPriority w:val="99"/>
    <w:rsid w:val="00657BA2"/>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2">
    <w:name w:val="Styl2"/>
    <w:uiPriority w:val="99"/>
    <w:rsid w:val="00657BA2"/>
    <w:pPr>
      <w:contextualSpacing/>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1">
    <w:name w:val="Styl1"/>
    <w:uiPriority w:val="99"/>
    <w:rsid w:val="00657BA2"/>
    <w:pPr>
      <w:contextualSpacing/>
    </w:pPr>
    <w:rPr>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rsid w:val="00657BA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57BA2"/>
    <w:rPr>
      <w:rFonts w:cs="Times New Roman"/>
      <w:sz w:val="20"/>
      <w:szCs w:val="20"/>
    </w:rPr>
  </w:style>
  <w:style w:type="character" w:styleId="CommentReference">
    <w:name w:val="annotation reference"/>
    <w:basedOn w:val="DefaultParagraphFont"/>
    <w:uiPriority w:val="99"/>
    <w:semiHidden/>
    <w:rsid w:val="00657BA2"/>
    <w:rPr>
      <w:rFonts w:cs="Times New Roman"/>
      <w:sz w:val="16"/>
      <w:szCs w:val="16"/>
    </w:rPr>
  </w:style>
  <w:style w:type="paragraph" w:styleId="BalloonText">
    <w:name w:val="Balloon Text"/>
    <w:basedOn w:val="Normal"/>
    <w:link w:val="BalloonTextChar"/>
    <w:uiPriority w:val="99"/>
    <w:semiHidden/>
    <w:rsid w:val="0018638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10</Pages>
  <Words>4080</Words>
  <Characters>24074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soukp6as</cp:lastModifiedBy>
  <cp:revision>3</cp:revision>
  <dcterms:created xsi:type="dcterms:W3CDTF">2017-04-04T14:37:00Z</dcterms:created>
  <dcterms:modified xsi:type="dcterms:W3CDTF">2017-04-04T16:16:00Z</dcterms:modified>
</cp:coreProperties>
</file>